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2C253" w14:textId="77777777" w:rsidR="00467438" w:rsidRDefault="00467438">
      <w:pPr>
        <w:pStyle w:val="BodyText"/>
        <w:rPr>
          <w:sz w:val="20"/>
        </w:rPr>
      </w:pPr>
    </w:p>
    <w:p w14:paraId="58B5D5E6" w14:textId="77777777" w:rsidR="00467438" w:rsidRDefault="00467438">
      <w:pPr>
        <w:pStyle w:val="BodyText"/>
        <w:rPr>
          <w:sz w:val="20"/>
        </w:rPr>
      </w:pPr>
    </w:p>
    <w:p w14:paraId="52DBBA09" w14:textId="77777777" w:rsidR="00467438" w:rsidRDefault="00467438">
      <w:pPr>
        <w:pStyle w:val="BodyText"/>
        <w:spacing w:before="9"/>
        <w:rPr>
          <w:sz w:val="27"/>
        </w:rPr>
      </w:pPr>
    </w:p>
    <w:p w14:paraId="527CD12C" w14:textId="77777777" w:rsidR="00467438" w:rsidRPr="006555F7" w:rsidRDefault="00C75D90">
      <w:pPr>
        <w:pStyle w:val="Heading1"/>
        <w:spacing w:before="89"/>
        <w:ind w:right="2114"/>
        <w:rPr>
          <w:lang w:val="en-GB"/>
        </w:rPr>
      </w:pPr>
      <w:r w:rsidRPr="006555F7">
        <w:rPr>
          <w:lang w:val="en-GB"/>
        </w:rPr>
        <w:t>REPUBLIC OF NAURU</w:t>
      </w:r>
    </w:p>
    <w:p w14:paraId="19716006" w14:textId="77777777" w:rsidR="00467438" w:rsidRPr="006555F7" w:rsidRDefault="00467438">
      <w:pPr>
        <w:pStyle w:val="BodyText"/>
        <w:spacing w:before="1"/>
        <w:rPr>
          <w:b/>
          <w:sz w:val="28"/>
          <w:lang w:val="en-GB"/>
        </w:rPr>
      </w:pPr>
    </w:p>
    <w:p w14:paraId="2D7D9442" w14:textId="77777777" w:rsidR="00467438" w:rsidRPr="006555F7" w:rsidRDefault="00C75D90">
      <w:pPr>
        <w:ind w:left="2115" w:right="2115"/>
        <w:jc w:val="center"/>
        <w:rPr>
          <w:b/>
          <w:sz w:val="28"/>
          <w:lang w:val="en-GB"/>
        </w:rPr>
      </w:pPr>
      <w:r w:rsidRPr="006555F7">
        <w:rPr>
          <w:b/>
          <w:sz w:val="28"/>
          <w:lang w:val="en-GB"/>
        </w:rPr>
        <w:t>(Act No.9 of 2009)</w:t>
      </w:r>
    </w:p>
    <w:p w14:paraId="45AD65CB" w14:textId="77777777" w:rsidR="00467438" w:rsidRPr="006555F7" w:rsidRDefault="00467438">
      <w:pPr>
        <w:pStyle w:val="BodyText"/>
        <w:rPr>
          <w:b/>
          <w:sz w:val="30"/>
          <w:lang w:val="en-GB"/>
        </w:rPr>
      </w:pPr>
    </w:p>
    <w:p w14:paraId="2826F0F8" w14:textId="77777777" w:rsidR="00467438" w:rsidRPr="006555F7" w:rsidRDefault="00467438">
      <w:pPr>
        <w:pStyle w:val="BodyText"/>
        <w:spacing w:before="10"/>
        <w:rPr>
          <w:b/>
          <w:sz w:val="25"/>
          <w:lang w:val="en-GB"/>
        </w:rPr>
      </w:pPr>
    </w:p>
    <w:p w14:paraId="78F713DC" w14:textId="77777777" w:rsidR="00467438" w:rsidRPr="006555F7" w:rsidRDefault="00C75D90">
      <w:pPr>
        <w:ind w:left="2115" w:right="2115"/>
        <w:jc w:val="center"/>
        <w:rPr>
          <w:b/>
          <w:sz w:val="28"/>
          <w:lang w:val="en-GB"/>
        </w:rPr>
      </w:pPr>
      <w:r w:rsidRPr="006555F7">
        <w:rPr>
          <w:b/>
          <w:sz w:val="28"/>
          <w:lang w:val="en-GB"/>
        </w:rPr>
        <w:t>AN ACT</w:t>
      </w:r>
    </w:p>
    <w:p w14:paraId="39C1E0D9" w14:textId="77777777" w:rsidR="00467438" w:rsidRPr="006555F7" w:rsidRDefault="00467438">
      <w:pPr>
        <w:pStyle w:val="BodyText"/>
        <w:spacing w:before="5"/>
        <w:rPr>
          <w:b/>
          <w:sz w:val="27"/>
          <w:lang w:val="en-GB"/>
        </w:rPr>
      </w:pPr>
      <w:bookmarkStart w:id="0" w:name="_GoBack"/>
      <w:bookmarkEnd w:id="0"/>
    </w:p>
    <w:p w14:paraId="5DDBBD79" w14:textId="77777777" w:rsidR="00467438" w:rsidRPr="006555F7" w:rsidRDefault="00C75D90">
      <w:pPr>
        <w:spacing w:before="1" w:line="720" w:lineRule="auto"/>
        <w:ind w:left="2115" w:right="2116"/>
        <w:jc w:val="center"/>
        <w:rPr>
          <w:sz w:val="28"/>
          <w:lang w:val="en-GB"/>
        </w:rPr>
      </w:pPr>
      <w:r w:rsidRPr="006555F7">
        <w:rPr>
          <w:sz w:val="28"/>
          <w:lang w:val="en-GB"/>
        </w:rPr>
        <w:t>to levy a telecommunications service tax (Certified: 31 August 2009)</w:t>
      </w:r>
    </w:p>
    <w:p w14:paraId="5200A03A" w14:textId="77777777" w:rsidR="00467438" w:rsidRPr="006555F7" w:rsidRDefault="00467438">
      <w:pPr>
        <w:spacing w:line="720" w:lineRule="auto"/>
        <w:jc w:val="center"/>
        <w:rPr>
          <w:sz w:val="28"/>
          <w:lang w:val="en-GB"/>
        </w:rPr>
        <w:sectPr w:rsidR="00467438" w:rsidRPr="006555F7">
          <w:type w:val="continuous"/>
          <w:pgSz w:w="12240" w:h="15840"/>
          <w:pgMar w:top="1500" w:right="1720" w:bottom="280" w:left="1720" w:header="720" w:footer="720" w:gutter="0"/>
          <w:cols w:space="720"/>
        </w:sectPr>
      </w:pPr>
    </w:p>
    <w:p w14:paraId="7D0F9FAB" w14:textId="77777777" w:rsidR="00467438" w:rsidRPr="006555F7" w:rsidRDefault="00467438">
      <w:pPr>
        <w:pStyle w:val="BodyText"/>
        <w:spacing w:before="10"/>
        <w:rPr>
          <w:sz w:val="11"/>
          <w:lang w:val="en-GB"/>
        </w:rPr>
      </w:pPr>
    </w:p>
    <w:p w14:paraId="5B6D51B7" w14:textId="77777777" w:rsidR="00467438" w:rsidRPr="006555F7" w:rsidRDefault="00C75D90">
      <w:pPr>
        <w:spacing w:before="89" w:line="480" w:lineRule="auto"/>
        <w:ind w:left="1863" w:right="1866" w:firstLine="1423"/>
        <w:rPr>
          <w:b/>
          <w:sz w:val="28"/>
          <w:lang w:val="en-GB"/>
        </w:rPr>
      </w:pPr>
      <w:r w:rsidRPr="006555F7">
        <w:rPr>
          <w:b/>
          <w:sz w:val="28"/>
          <w:lang w:val="en-GB"/>
        </w:rPr>
        <w:t>Republic of Nauru Telecommunications Service Tax Act 2009</w:t>
      </w:r>
    </w:p>
    <w:p w14:paraId="0BE4B738" w14:textId="77777777" w:rsidR="00467438" w:rsidRPr="006555F7" w:rsidRDefault="00C75D90">
      <w:pPr>
        <w:spacing w:before="8"/>
        <w:ind w:left="2893" w:firstLine="669"/>
        <w:rPr>
          <w:sz w:val="28"/>
          <w:lang w:val="en-GB"/>
        </w:rPr>
      </w:pPr>
      <w:r w:rsidRPr="006555F7">
        <w:rPr>
          <w:sz w:val="28"/>
          <w:lang w:val="en-GB"/>
        </w:rPr>
        <w:t>(No.9 of 2009)</w:t>
      </w:r>
    </w:p>
    <w:p w14:paraId="60559BBC" w14:textId="77777777" w:rsidR="00467438" w:rsidRPr="006555F7" w:rsidRDefault="00467438">
      <w:pPr>
        <w:pStyle w:val="BodyText"/>
        <w:rPr>
          <w:sz w:val="30"/>
          <w:lang w:val="en-GB"/>
        </w:rPr>
      </w:pPr>
    </w:p>
    <w:p w14:paraId="4F446492" w14:textId="77777777" w:rsidR="00467438" w:rsidRPr="006555F7" w:rsidRDefault="00467438">
      <w:pPr>
        <w:pStyle w:val="BodyText"/>
        <w:spacing w:before="10"/>
        <w:rPr>
          <w:sz w:val="25"/>
          <w:lang w:val="en-GB"/>
        </w:rPr>
      </w:pPr>
    </w:p>
    <w:p w14:paraId="0DD316C0" w14:textId="77777777" w:rsidR="00467438" w:rsidRPr="006555F7" w:rsidRDefault="00C75D90">
      <w:pPr>
        <w:pStyle w:val="BodyText"/>
        <w:spacing w:line="550" w:lineRule="atLeast"/>
        <w:ind w:left="320" w:right="2894" w:firstLine="2572"/>
        <w:rPr>
          <w:lang w:val="en-GB"/>
        </w:rPr>
      </w:pPr>
      <w:r w:rsidRPr="006555F7">
        <w:rPr>
          <w:lang w:val="en-GB"/>
        </w:rPr>
        <w:t>ARRANGEMENT OF PARTS PART I - PRELIMINARY</w:t>
      </w:r>
    </w:p>
    <w:sdt>
      <w:sdtPr>
        <w:rPr>
          <w:lang w:val="en-GB"/>
        </w:rPr>
        <w:id w:val="256491656"/>
        <w:docPartObj>
          <w:docPartGallery w:val="Table of Contents"/>
          <w:docPartUnique/>
        </w:docPartObj>
      </w:sdtPr>
      <w:sdtEndPr/>
      <w:sdtContent>
        <w:p w14:paraId="761C71D4" w14:textId="77777777" w:rsidR="00467438" w:rsidRPr="006555F7" w:rsidRDefault="00C75D90">
          <w:pPr>
            <w:pStyle w:val="TOC2"/>
            <w:numPr>
              <w:ilvl w:val="0"/>
              <w:numId w:val="2"/>
            </w:numPr>
            <w:tabs>
              <w:tab w:val="left" w:pos="801"/>
              <w:tab w:val="right" w:leader="dot" w:pos="8710"/>
            </w:tabs>
            <w:spacing w:before="138"/>
            <w:rPr>
              <w:lang w:val="en-GB"/>
            </w:rPr>
          </w:pPr>
          <w:r w:rsidRPr="006555F7">
            <w:rPr>
              <w:lang w:val="en-GB"/>
            </w:rPr>
            <w:t>Short Title</w:t>
          </w:r>
          <w:r w:rsidRPr="006555F7">
            <w:rPr>
              <w:spacing w:val="-2"/>
              <w:lang w:val="en-GB"/>
            </w:rPr>
            <w:t xml:space="preserve"> </w:t>
          </w:r>
          <w:r w:rsidRPr="006555F7">
            <w:rPr>
              <w:lang w:val="en-GB"/>
            </w:rPr>
            <w:t>and</w:t>
          </w:r>
          <w:r w:rsidRPr="006555F7">
            <w:rPr>
              <w:spacing w:val="-1"/>
              <w:lang w:val="en-GB"/>
            </w:rPr>
            <w:t xml:space="preserve"> </w:t>
          </w:r>
          <w:r w:rsidRPr="006555F7">
            <w:rPr>
              <w:lang w:val="en-GB"/>
            </w:rPr>
            <w:t>Commencement</w:t>
          </w:r>
          <w:r w:rsidRPr="006555F7">
            <w:rPr>
              <w:lang w:val="en-GB"/>
            </w:rPr>
            <w:tab/>
            <w:t>1</w:t>
          </w:r>
        </w:p>
        <w:p w14:paraId="3C47C70E" w14:textId="77777777" w:rsidR="00467438" w:rsidRPr="006555F7" w:rsidRDefault="00C75D90">
          <w:pPr>
            <w:pStyle w:val="TOC2"/>
            <w:numPr>
              <w:ilvl w:val="0"/>
              <w:numId w:val="2"/>
            </w:numPr>
            <w:tabs>
              <w:tab w:val="left" w:pos="803"/>
              <w:tab w:val="right" w:leader="dot" w:pos="8709"/>
            </w:tabs>
            <w:ind w:left="802" w:hanging="242"/>
            <w:rPr>
              <w:lang w:val="en-GB"/>
            </w:rPr>
          </w:pPr>
          <w:r w:rsidRPr="006555F7">
            <w:rPr>
              <w:lang w:val="en-GB"/>
            </w:rPr>
            <w:t>Interpretation</w:t>
          </w:r>
          <w:r w:rsidRPr="006555F7">
            <w:rPr>
              <w:lang w:val="en-GB"/>
            </w:rPr>
            <w:tab/>
            <w:t>1</w:t>
          </w:r>
        </w:p>
        <w:p w14:paraId="28AC3370" w14:textId="77777777" w:rsidR="00467438" w:rsidRPr="006555F7" w:rsidRDefault="00C75D90">
          <w:pPr>
            <w:pStyle w:val="TOC2"/>
            <w:numPr>
              <w:ilvl w:val="0"/>
              <w:numId w:val="2"/>
            </w:numPr>
            <w:tabs>
              <w:tab w:val="left" w:pos="801"/>
              <w:tab w:val="right" w:leader="dot" w:pos="8710"/>
            </w:tabs>
            <w:spacing w:before="139"/>
            <w:rPr>
              <w:lang w:val="en-GB"/>
            </w:rPr>
          </w:pPr>
          <w:r w:rsidRPr="006555F7">
            <w:rPr>
              <w:lang w:val="en-GB"/>
            </w:rPr>
            <w:t>Act to bind</w:t>
          </w:r>
          <w:r w:rsidRPr="006555F7">
            <w:rPr>
              <w:spacing w:val="-1"/>
              <w:lang w:val="en-GB"/>
            </w:rPr>
            <w:t xml:space="preserve"> </w:t>
          </w:r>
          <w:r w:rsidRPr="006555F7">
            <w:rPr>
              <w:lang w:val="en-GB"/>
            </w:rPr>
            <w:t>the</w:t>
          </w:r>
          <w:r w:rsidRPr="006555F7">
            <w:rPr>
              <w:spacing w:val="-2"/>
              <w:lang w:val="en-GB"/>
            </w:rPr>
            <w:t xml:space="preserve"> </w:t>
          </w:r>
          <w:r w:rsidRPr="006555F7">
            <w:rPr>
              <w:lang w:val="en-GB"/>
            </w:rPr>
            <w:t>Republic</w:t>
          </w:r>
          <w:r w:rsidRPr="006555F7">
            <w:rPr>
              <w:lang w:val="en-GB"/>
            </w:rPr>
            <w:tab/>
            <w:t>2</w:t>
          </w:r>
        </w:p>
        <w:p w14:paraId="713E10DF" w14:textId="77777777" w:rsidR="00467438" w:rsidRPr="006555F7" w:rsidRDefault="00C75D90">
          <w:pPr>
            <w:pStyle w:val="TOC1"/>
            <w:spacing w:before="549"/>
            <w:rPr>
              <w:lang w:val="en-GB"/>
            </w:rPr>
          </w:pPr>
          <w:hyperlink w:anchor="_TOC_250002" w:history="1">
            <w:r w:rsidRPr="006555F7">
              <w:rPr>
                <w:lang w:val="en-GB"/>
              </w:rPr>
              <w:t>PART II – TELECOMMUNICATIONS SERVICE TAX</w:t>
            </w:r>
          </w:hyperlink>
        </w:p>
        <w:p w14:paraId="751A3C43" w14:textId="77777777" w:rsidR="00467438" w:rsidRPr="006555F7" w:rsidRDefault="00C75D90">
          <w:pPr>
            <w:pStyle w:val="TOC2"/>
            <w:numPr>
              <w:ilvl w:val="0"/>
              <w:numId w:val="2"/>
            </w:numPr>
            <w:tabs>
              <w:tab w:val="left" w:pos="801"/>
              <w:tab w:val="right" w:leader="dot" w:pos="8710"/>
            </w:tabs>
            <w:spacing w:before="138"/>
            <w:rPr>
              <w:lang w:val="en-GB"/>
            </w:rPr>
          </w:pPr>
          <w:r w:rsidRPr="006555F7">
            <w:rPr>
              <w:lang w:val="en-GB"/>
            </w:rPr>
            <w:t>Telecommunications</w:t>
          </w:r>
          <w:r w:rsidRPr="006555F7">
            <w:rPr>
              <w:spacing w:val="-1"/>
              <w:lang w:val="en-GB"/>
            </w:rPr>
            <w:t xml:space="preserve"> </w:t>
          </w:r>
          <w:r w:rsidRPr="006555F7">
            <w:rPr>
              <w:lang w:val="en-GB"/>
            </w:rPr>
            <w:t>Service</w:t>
          </w:r>
          <w:r w:rsidRPr="006555F7">
            <w:rPr>
              <w:spacing w:val="-2"/>
              <w:lang w:val="en-GB"/>
            </w:rPr>
            <w:t xml:space="preserve"> </w:t>
          </w:r>
          <w:r w:rsidRPr="006555F7">
            <w:rPr>
              <w:lang w:val="en-GB"/>
            </w:rPr>
            <w:t>Tax</w:t>
          </w:r>
          <w:r w:rsidRPr="006555F7">
            <w:rPr>
              <w:lang w:val="en-GB"/>
            </w:rPr>
            <w:tab/>
            <w:t>2</w:t>
          </w:r>
        </w:p>
        <w:p w14:paraId="0A86BCEC" w14:textId="77777777" w:rsidR="00467438" w:rsidRPr="006555F7" w:rsidRDefault="00C75D90">
          <w:pPr>
            <w:pStyle w:val="TOC1"/>
            <w:rPr>
              <w:lang w:val="en-GB"/>
            </w:rPr>
          </w:pPr>
          <w:hyperlink w:anchor="_TOC_250001" w:history="1">
            <w:r w:rsidRPr="006555F7">
              <w:rPr>
                <w:lang w:val="en-GB"/>
              </w:rPr>
              <w:t>PART III – ADMINISTRATION</w:t>
            </w:r>
          </w:hyperlink>
        </w:p>
        <w:p w14:paraId="6E0A5078" w14:textId="77777777" w:rsidR="00467438" w:rsidRPr="006555F7" w:rsidRDefault="00C75D90">
          <w:pPr>
            <w:pStyle w:val="TOC2"/>
            <w:numPr>
              <w:ilvl w:val="0"/>
              <w:numId w:val="2"/>
            </w:numPr>
            <w:tabs>
              <w:tab w:val="left" w:pos="801"/>
              <w:tab w:val="right" w:leader="dot" w:pos="8710"/>
            </w:tabs>
            <w:rPr>
              <w:lang w:val="en-GB"/>
            </w:rPr>
          </w:pPr>
          <w:r w:rsidRPr="006555F7">
            <w:rPr>
              <w:lang w:val="en-GB"/>
            </w:rPr>
            <w:t>Payment</w:t>
          </w:r>
          <w:r w:rsidRPr="006555F7">
            <w:rPr>
              <w:spacing w:val="-1"/>
              <w:lang w:val="en-GB"/>
            </w:rPr>
            <w:t xml:space="preserve"> </w:t>
          </w:r>
          <w:r w:rsidRPr="006555F7">
            <w:rPr>
              <w:lang w:val="en-GB"/>
            </w:rPr>
            <w:t>and</w:t>
          </w:r>
          <w:r w:rsidRPr="006555F7">
            <w:rPr>
              <w:lang w:val="en-GB"/>
            </w:rPr>
            <w:t xml:space="preserve"> </w:t>
          </w:r>
          <w:r w:rsidRPr="006555F7">
            <w:rPr>
              <w:lang w:val="en-GB"/>
            </w:rPr>
            <w:t>collect</w:t>
          </w:r>
          <w:r w:rsidRPr="006555F7">
            <w:rPr>
              <w:lang w:val="en-GB"/>
            </w:rPr>
            <w:t>ion</w:t>
          </w:r>
          <w:r w:rsidRPr="006555F7">
            <w:rPr>
              <w:lang w:val="en-GB"/>
            </w:rPr>
            <w:tab/>
            <w:t>3</w:t>
          </w:r>
        </w:p>
        <w:p w14:paraId="1CBE0847" w14:textId="77777777" w:rsidR="00467438" w:rsidRPr="006555F7" w:rsidRDefault="00C75D90">
          <w:pPr>
            <w:pStyle w:val="TOC2"/>
            <w:numPr>
              <w:ilvl w:val="0"/>
              <w:numId w:val="2"/>
            </w:numPr>
            <w:tabs>
              <w:tab w:val="left" w:pos="801"/>
              <w:tab w:val="right" w:leader="dot" w:pos="8710"/>
            </w:tabs>
            <w:spacing w:before="138"/>
            <w:rPr>
              <w:lang w:val="en-GB"/>
            </w:rPr>
          </w:pPr>
          <w:r w:rsidRPr="006555F7">
            <w:rPr>
              <w:lang w:val="en-GB"/>
            </w:rPr>
            <w:t>Records</w:t>
          </w:r>
          <w:r w:rsidRPr="006555F7">
            <w:rPr>
              <w:lang w:val="en-GB"/>
            </w:rPr>
            <w:tab/>
            <w:t>3</w:t>
          </w:r>
        </w:p>
        <w:p w14:paraId="415048DC" w14:textId="77777777" w:rsidR="00467438" w:rsidRPr="006555F7" w:rsidRDefault="00C75D90">
          <w:pPr>
            <w:pStyle w:val="TOC2"/>
            <w:numPr>
              <w:ilvl w:val="0"/>
              <w:numId w:val="2"/>
            </w:numPr>
            <w:tabs>
              <w:tab w:val="left" w:pos="801"/>
              <w:tab w:val="right" w:leader="dot" w:pos="8710"/>
            </w:tabs>
            <w:rPr>
              <w:lang w:val="en-GB"/>
            </w:rPr>
          </w:pPr>
          <w:r w:rsidRPr="006555F7">
            <w:rPr>
              <w:lang w:val="en-GB"/>
            </w:rPr>
            <w:t>Administration of</w:t>
          </w:r>
          <w:r w:rsidRPr="006555F7">
            <w:rPr>
              <w:spacing w:val="-2"/>
              <w:lang w:val="en-GB"/>
            </w:rPr>
            <w:t xml:space="preserve"> </w:t>
          </w:r>
          <w:r w:rsidRPr="006555F7">
            <w:rPr>
              <w:lang w:val="en-GB"/>
            </w:rPr>
            <w:t>the</w:t>
          </w:r>
          <w:r w:rsidRPr="006555F7">
            <w:rPr>
              <w:spacing w:val="-2"/>
              <w:lang w:val="en-GB"/>
            </w:rPr>
            <w:t xml:space="preserve"> </w:t>
          </w:r>
          <w:r w:rsidRPr="006555F7">
            <w:rPr>
              <w:lang w:val="en-GB"/>
            </w:rPr>
            <w:t>Act</w:t>
          </w:r>
          <w:r w:rsidRPr="006555F7">
            <w:rPr>
              <w:lang w:val="en-GB"/>
            </w:rPr>
            <w:tab/>
            <w:t>3</w:t>
          </w:r>
        </w:p>
        <w:p w14:paraId="4007FB2F" w14:textId="77777777" w:rsidR="00467438" w:rsidRPr="006555F7" w:rsidRDefault="00C75D90">
          <w:pPr>
            <w:pStyle w:val="TOC2"/>
            <w:numPr>
              <w:ilvl w:val="0"/>
              <w:numId w:val="2"/>
            </w:numPr>
            <w:tabs>
              <w:tab w:val="left" w:pos="801"/>
              <w:tab w:val="right" w:leader="dot" w:pos="8710"/>
            </w:tabs>
            <w:spacing w:before="139"/>
            <w:rPr>
              <w:lang w:val="en-GB"/>
            </w:rPr>
          </w:pPr>
          <w:r w:rsidRPr="006555F7">
            <w:rPr>
              <w:lang w:val="en-GB"/>
            </w:rPr>
            <w:t>Regulations</w:t>
          </w:r>
          <w:r w:rsidRPr="006555F7">
            <w:rPr>
              <w:lang w:val="en-GB"/>
            </w:rPr>
            <w:tab/>
            <w:t>4</w:t>
          </w:r>
        </w:p>
        <w:p w14:paraId="0D3C1D0F" w14:textId="77777777" w:rsidR="00467438" w:rsidRPr="006555F7" w:rsidRDefault="00C75D90">
          <w:pPr>
            <w:pStyle w:val="TOC2"/>
            <w:numPr>
              <w:ilvl w:val="0"/>
              <w:numId w:val="2"/>
            </w:numPr>
            <w:tabs>
              <w:tab w:val="left" w:pos="801"/>
              <w:tab w:val="right" w:leader="dot" w:pos="8710"/>
            </w:tabs>
            <w:rPr>
              <w:lang w:val="en-GB"/>
            </w:rPr>
          </w:pPr>
          <w:r w:rsidRPr="006555F7">
            <w:rPr>
              <w:lang w:val="en-GB"/>
            </w:rPr>
            <w:t>Application</w:t>
          </w:r>
          <w:r w:rsidRPr="006555F7">
            <w:rPr>
              <w:spacing w:val="-1"/>
              <w:lang w:val="en-GB"/>
            </w:rPr>
            <w:t xml:space="preserve"> </w:t>
          </w:r>
          <w:r w:rsidRPr="006555F7">
            <w:rPr>
              <w:lang w:val="en-GB"/>
            </w:rPr>
            <w:t>of</w:t>
          </w:r>
          <w:r w:rsidRPr="006555F7">
            <w:rPr>
              <w:spacing w:val="-2"/>
              <w:lang w:val="en-GB"/>
            </w:rPr>
            <w:t xml:space="preserve"> </w:t>
          </w:r>
          <w:r w:rsidRPr="006555F7">
            <w:rPr>
              <w:lang w:val="en-GB"/>
            </w:rPr>
            <w:t>Revenue</w:t>
          </w:r>
          <w:r w:rsidRPr="006555F7">
            <w:rPr>
              <w:lang w:val="en-GB"/>
            </w:rPr>
            <w:tab/>
            <w:t>4</w:t>
          </w:r>
        </w:p>
        <w:p w14:paraId="563379E7" w14:textId="77777777" w:rsidR="00467438" w:rsidRPr="006555F7" w:rsidRDefault="00C75D90">
          <w:pPr>
            <w:pStyle w:val="TOC2"/>
            <w:numPr>
              <w:ilvl w:val="0"/>
              <w:numId w:val="2"/>
            </w:numPr>
            <w:tabs>
              <w:tab w:val="left" w:pos="924"/>
              <w:tab w:val="right" w:leader="dot" w:pos="8710"/>
            </w:tabs>
            <w:spacing w:before="138"/>
            <w:ind w:left="923" w:hanging="363"/>
            <w:rPr>
              <w:lang w:val="en-GB"/>
            </w:rPr>
          </w:pPr>
          <w:r w:rsidRPr="006555F7">
            <w:rPr>
              <w:lang w:val="en-GB"/>
            </w:rPr>
            <w:t>Interest in respect of</w:t>
          </w:r>
          <w:r w:rsidRPr="006555F7">
            <w:rPr>
              <w:spacing w:val="-2"/>
              <w:lang w:val="en-GB"/>
            </w:rPr>
            <w:t xml:space="preserve"> </w:t>
          </w:r>
          <w:r w:rsidRPr="006555F7">
            <w:rPr>
              <w:lang w:val="en-GB"/>
            </w:rPr>
            <w:t>tax</w:t>
          </w:r>
          <w:r w:rsidRPr="006555F7">
            <w:rPr>
              <w:lang w:val="en-GB"/>
            </w:rPr>
            <w:t xml:space="preserve"> </w:t>
          </w:r>
          <w:r w:rsidRPr="006555F7">
            <w:rPr>
              <w:lang w:val="en-GB"/>
            </w:rPr>
            <w:t>defaults</w:t>
          </w:r>
          <w:r w:rsidRPr="006555F7">
            <w:rPr>
              <w:lang w:val="en-GB"/>
            </w:rPr>
            <w:tab/>
            <w:t>4</w:t>
          </w:r>
        </w:p>
        <w:p w14:paraId="0FD86844" w14:textId="77777777" w:rsidR="00467438" w:rsidRPr="006555F7" w:rsidRDefault="00C75D90">
          <w:pPr>
            <w:pStyle w:val="TOC1"/>
            <w:rPr>
              <w:lang w:val="en-GB"/>
            </w:rPr>
          </w:pPr>
          <w:hyperlink w:anchor="_TOC_250000" w:history="1">
            <w:r w:rsidRPr="006555F7">
              <w:rPr>
                <w:lang w:val="en-GB"/>
              </w:rPr>
              <w:t>PART IV – OFFENCES AND PENALTIES</w:t>
            </w:r>
          </w:hyperlink>
        </w:p>
        <w:p w14:paraId="7C24A7E8" w14:textId="77777777" w:rsidR="00467438" w:rsidRPr="006555F7" w:rsidRDefault="00C75D90">
          <w:pPr>
            <w:pStyle w:val="TOC2"/>
            <w:numPr>
              <w:ilvl w:val="0"/>
              <w:numId w:val="2"/>
            </w:numPr>
            <w:tabs>
              <w:tab w:val="left" w:pos="921"/>
              <w:tab w:val="right" w:leader="dot" w:pos="8710"/>
            </w:tabs>
            <w:ind w:left="920" w:hanging="360"/>
            <w:rPr>
              <w:lang w:val="en-GB"/>
            </w:rPr>
          </w:pPr>
          <w:r w:rsidRPr="006555F7">
            <w:rPr>
              <w:lang w:val="en-GB"/>
            </w:rPr>
            <w:t>Tax</w:t>
          </w:r>
          <w:r w:rsidRPr="006555F7">
            <w:rPr>
              <w:lang w:val="en-GB"/>
            </w:rPr>
            <w:t xml:space="preserve"> </w:t>
          </w:r>
          <w:r w:rsidRPr="006555F7">
            <w:rPr>
              <w:lang w:val="en-GB"/>
            </w:rPr>
            <w:t>Evasion</w:t>
          </w:r>
          <w:r w:rsidRPr="006555F7">
            <w:rPr>
              <w:lang w:val="en-GB"/>
            </w:rPr>
            <w:tab/>
            <w:t>4</w:t>
          </w:r>
        </w:p>
        <w:p w14:paraId="254A59C2" w14:textId="77777777" w:rsidR="00467438" w:rsidRPr="006555F7" w:rsidRDefault="00C75D90">
          <w:pPr>
            <w:pStyle w:val="TOC2"/>
            <w:numPr>
              <w:ilvl w:val="0"/>
              <w:numId w:val="2"/>
            </w:numPr>
            <w:tabs>
              <w:tab w:val="left" w:pos="921"/>
              <w:tab w:val="right" w:leader="dot" w:pos="8710"/>
            </w:tabs>
            <w:spacing w:before="138"/>
            <w:ind w:left="920" w:hanging="360"/>
            <w:rPr>
              <w:lang w:val="en-GB"/>
            </w:rPr>
          </w:pPr>
          <w:r w:rsidRPr="006555F7">
            <w:rPr>
              <w:lang w:val="en-GB"/>
            </w:rPr>
            <w:t>Falsifying or</w:t>
          </w:r>
          <w:r w:rsidRPr="006555F7">
            <w:rPr>
              <w:spacing w:val="-5"/>
              <w:lang w:val="en-GB"/>
            </w:rPr>
            <w:t xml:space="preserve"> </w:t>
          </w:r>
          <w:r w:rsidRPr="006555F7">
            <w:rPr>
              <w:lang w:val="en-GB"/>
            </w:rPr>
            <w:t>concealing</w:t>
          </w:r>
          <w:r w:rsidRPr="006555F7">
            <w:rPr>
              <w:spacing w:val="-4"/>
              <w:lang w:val="en-GB"/>
            </w:rPr>
            <w:t xml:space="preserve"> </w:t>
          </w:r>
          <w:r w:rsidRPr="006555F7">
            <w:rPr>
              <w:lang w:val="en-GB"/>
            </w:rPr>
            <w:t>records</w:t>
          </w:r>
          <w:r w:rsidRPr="006555F7">
            <w:rPr>
              <w:lang w:val="en-GB"/>
            </w:rPr>
            <w:tab/>
            <w:t>4</w:t>
          </w:r>
        </w:p>
        <w:p w14:paraId="30621F4D" w14:textId="77777777" w:rsidR="00467438" w:rsidRPr="006555F7" w:rsidRDefault="00C75D90">
          <w:pPr>
            <w:pStyle w:val="TOC2"/>
            <w:numPr>
              <w:ilvl w:val="0"/>
              <w:numId w:val="2"/>
            </w:numPr>
            <w:tabs>
              <w:tab w:val="left" w:pos="921"/>
              <w:tab w:val="right" w:leader="dot" w:pos="8710"/>
            </w:tabs>
            <w:ind w:left="920" w:hanging="360"/>
            <w:rPr>
              <w:lang w:val="en-GB"/>
            </w:rPr>
          </w:pPr>
          <w:r w:rsidRPr="006555F7">
            <w:rPr>
              <w:lang w:val="en-GB"/>
            </w:rPr>
            <w:t>Failure to</w:t>
          </w:r>
          <w:r w:rsidRPr="006555F7">
            <w:rPr>
              <w:spacing w:val="-2"/>
              <w:lang w:val="en-GB"/>
            </w:rPr>
            <w:t xml:space="preserve"> </w:t>
          </w:r>
          <w:r w:rsidRPr="006555F7">
            <w:rPr>
              <w:lang w:val="en-GB"/>
            </w:rPr>
            <w:t>pay</w:t>
          </w:r>
          <w:r w:rsidRPr="006555F7">
            <w:rPr>
              <w:spacing w:val="-6"/>
              <w:lang w:val="en-GB"/>
            </w:rPr>
            <w:t xml:space="preserve"> </w:t>
          </w:r>
          <w:r w:rsidRPr="006555F7">
            <w:rPr>
              <w:lang w:val="en-GB"/>
            </w:rPr>
            <w:t>tax</w:t>
          </w:r>
          <w:r w:rsidRPr="006555F7">
            <w:rPr>
              <w:lang w:val="en-GB"/>
            </w:rPr>
            <w:tab/>
            <w:t>5</w:t>
          </w:r>
        </w:p>
        <w:p w14:paraId="3F578CD0" w14:textId="77777777" w:rsidR="00467438" w:rsidRPr="006555F7" w:rsidRDefault="00C75D90">
          <w:pPr>
            <w:pStyle w:val="TOC2"/>
            <w:numPr>
              <w:ilvl w:val="0"/>
              <w:numId w:val="2"/>
            </w:numPr>
            <w:tabs>
              <w:tab w:val="left" w:pos="921"/>
              <w:tab w:val="right" w:leader="dot" w:pos="8710"/>
            </w:tabs>
            <w:spacing w:before="139"/>
            <w:ind w:left="920" w:hanging="360"/>
            <w:rPr>
              <w:lang w:val="en-GB"/>
            </w:rPr>
          </w:pPr>
          <w:r w:rsidRPr="006555F7">
            <w:rPr>
              <w:lang w:val="en-GB"/>
            </w:rPr>
            <w:t>Failure to</w:t>
          </w:r>
          <w:r w:rsidRPr="006555F7">
            <w:rPr>
              <w:spacing w:val="-2"/>
              <w:lang w:val="en-GB"/>
            </w:rPr>
            <w:t xml:space="preserve"> </w:t>
          </w:r>
          <w:r w:rsidRPr="006555F7">
            <w:rPr>
              <w:lang w:val="en-GB"/>
            </w:rPr>
            <w:t>keep</w:t>
          </w:r>
          <w:r w:rsidRPr="006555F7">
            <w:rPr>
              <w:spacing w:val="-1"/>
              <w:lang w:val="en-GB"/>
            </w:rPr>
            <w:t xml:space="preserve"> </w:t>
          </w:r>
          <w:r w:rsidRPr="006555F7">
            <w:rPr>
              <w:lang w:val="en-GB"/>
            </w:rPr>
            <w:t>records</w:t>
          </w:r>
          <w:r w:rsidRPr="006555F7">
            <w:rPr>
              <w:lang w:val="en-GB"/>
            </w:rPr>
            <w:tab/>
            <w:t>5</w:t>
          </w:r>
        </w:p>
        <w:p w14:paraId="1CC1D81D" w14:textId="77777777" w:rsidR="00467438" w:rsidRPr="006555F7" w:rsidRDefault="00C75D90">
          <w:pPr>
            <w:pStyle w:val="TOC2"/>
            <w:numPr>
              <w:ilvl w:val="0"/>
              <w:numId w:val="2"/>
            </w:numPr>
            <w:tabs>
              <w:tab w:val="left" w:pos="921"/>
              <w:tab w:val="right" w:leader="dot" w:pos="8710"/>
            </w:tabs>
            <w:ind w:left="920" w:hanging="360"/>
            <w:rPr>
              <w:lang w:val="en-GB"/>
            </w:rPr>
          </w:pPr>
          <w:r w:rsidRPr="006555F7">
            <w:rPr>
              <w:lang w:val="en-GB"/>
            </w:rPr>
            <w:t>Failure to submit</w:t>
          </w:r>
          <w:r w:rsidRPr="006555F7">
            <w:rPr>
              <w:spacing w:val="-2"/>
              <w:lang w:val="en-GB"/>
            </w:rPr>
            <w:t xml:space="preserve"> </w:t>
          </w:r>
          <w:r w:rsidRPr="006555F7">
            <w:rPr>
              <w:lang w:val="en-GB"/>
            </w:rPr>
            <w:t>monthly</w:t>
          </w:r>
          <w:r w:rsidRPr="006555F7">
            <w:rPr>
              <w:spacing w:val="-6"/>
              <w:lang w:val="en-GB"/>
            </w:rPr>
            <w:t xml:space="preserve"> </w:t>
          </w:r>
          <w:r w:rsidRPr="006555F7">
            <w:rPr>
              <w:lang w:val="en-GB"/>
            </w:rPr>
            <w:t>statement</w:t>
          </w:r>
          <w:r w:rsidRPr="006555F7">
            <w:rPr>
              <w:lang w:val="en-GB"/>
            </w:rPr>
            <w:tab/>
            <w:t>5</w:t>
          </w:r>
        </w:p>
      </w:sdtContent>
    </w:sdt>
    <w:p w14:paraId="538C8E20" w14:textId="77777777" w:rsidR="00467438" w:rsidRPr="006555F7" w:rsidRDefault="00467438">
      <w:pPr>
        <w:rPr>
          <w:lang w:val="en-GB"/>
        </w:rPr>
        <w:sectPr w:rsidR="00467438" w:rsidRPr="006555F7">
          <w:pgSz w:w="12240" w:h="15840"/>
          <w:pgMar w:top="1500" w:right="1700" w:bottom="280" w:left="1720" w:header="720" w:footer="720" w:gutter="0"/>
          <w:cols w:space="720"/>
        </w:sectPr>
      </w:pPr>
    </w:p>
    <w:p w14:paraId="5235474D" w14:textId="77777777" w:rsidR="00467438" w:rsidRPr="006555F7" w:rsidRDefault="00467438">
      <w:pPr>
        <w:pStyle w:val="BodyText"/>
        <w:rPr>
          <w:sz w:val="20"/>
          <w:lang w:val="en-GB"/>
        </w:rPr>
      </w:pPr>
    </w:p>
    <w:p w14:paraId="60FD4178" w14:textId="77777777" w:rsidR="00467438" w:rsidRPr="006555F7" w:rsidRDefault="00467438">
      <w:pPr>
        <w:pStyle w:val="BodyText"/>
        <w:spacing w:before="3"/>
        <w:rPr>
          <w:sz w:val="21"/>
          <w:lang w:val="en-GB"/>
        </w:rPr>
      </w:pPr>
    </w:p>
    <w:p w14:paraId="6EC57308" w14:textId="77777777" w:rsidR="00467438" w:rsidRPr="006555F7" w:rsidRDefault="00C75D90">
      <w:pPr>
        <w:pStyle w:val="BodyText"/>
        <w:ind w:left="3609"/>
        <w:rPr>
          <w:sz w:val="20"/>
          <w:lang w:val="en-GB"/>
        </w:rPr>
      </w:pPr>
      <w:r w:rsidRPr="006555F7">
        <w:rPr>
          <w:noProof/>
          <w:sz w:val="20"/>
          <w:lang w:val="en-GB"/>
        </w:rPr>
        <w:drawing>
          <wp:inline distT="0" distB="0" distL="0" distR="0" wp14:anchorId="4A0CC700" wp14:editId="673B19BF">
            <wp:extent cx="1039443" cy="11518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39443" cy="1151858"/>
                    </a:xfrm>
                    <a:prstGeom prst="rect">
                      <a:avLst/>
                    </a:prstGeom>
                  </pic:spPr>
                </pic:pic>
              </a:graphicData>
            </a:graphic>
          </wp:inline>
        </w:drawing>
      </w:r>
    </w:p>
    <w:p w14:paraId="27DADCF7" w14:textId="77777777" w:rsidR="00467438" w:rsidRPr="006555F7" w:rsidRDefault="00467438">
      <w:pPr>
        <w:pStyle w:val="BodyText"/>
        <w:spacing w:before="11"/>
        <w:rPr>
          <w:sz w:val="33"/>
          <w:lang w:val="en-GB"/>
        </w:rPr>
      </w:pPr>
    </w:p>
    <w:p w14:paraId="125BA84E" w14:textId="77777777" w:rsidR="00467438" w:rsidRPr="006555F7" w:rsidRDefault="00C75D90">
      <w:pPr>
        <w:pStyle w:val="Heading4"/>
        <w:rPr>
          <w:lang w:val="en-GB"/>
        </w:rPr>
      </w:pPr>
      <w:r w:rsidRPr="006555F7">
        <w:rPr>
          <w:lang w:val="en-GB"/>
        </w:rPr>
        <w:t>REPUBLIC OF NAURU</w:t>
      </w:r>
    </w:p>
    <w:p w14:paraId="61547121" w14:textId="77777777" w:rsidR="00467438" w:rsidRPr="006555F7" w:rsidRDefault="00467438">
      <w:pPr>
        <w:pStyle w:val="BodyText"/>
        <w:rPr>
          <w:b/>
          <w:sz w:val="26"/>
          <w:lang w:val="en-GB"/>
        </w:rPr>
      </w:pPr>
    </w:p>
    <w:p w14:paraId="7F84F30C" w14:textId="77777777" w:rsidR="00467438" w:rsidRPr="006555F7" w:rsidRDefault="00467438">
      <w:pPr>
        <w:pStyle w:val="BodyText"/>
        <w:rPr>
          <w:b/>
          <w:sz w:val="22"/>
          <w:lang w:val="en-GB"/>
        </w:rPr>
      </w:pPr>
    </w:p>
    <w:p w14:paraId="2A6D216D" w14:textId="77777777" w:rsidR="00467438" w:rsidRPr="006555F7" w:rsidRDefault="00C75D90">
      <w:pPr>
        <w:ind w:left="2423" w:right="2402"/>
        <w:jc w:val="center"/>
        <w:rPr>
          <w:b/>
          <w:sz w:val="24"/>
          <w:lang w:val="en-GB"/>
        </w:rPr>
      </w:pPr>
      <w:r w:rsidRPr="006555F7">
        <w:rPr>
          <w:b/>
          <w:sz w:val="24"/>
          <w:lang w:val="en-GB"/>
        </w:rPr>
        <w:t>An Act</w:t>
      </w:r>
    </w:p>
    <w:p w14:paraId="37A8150F" w14:textId="77777777" w:rsidR="00467438" w:rsidRPr="006555F7" w:rsidRDefault="00467438">
      <w:pPr>
        <w:pStyle w:val="BodyText"/>
        <w:spacing w:before="6"/>
        <w:rPr>
          <w:b/>
          <w:sz w:val="23"/>
          <w:lang w:val="en-GB"/>
        </w:rPr>
      </w:pPr>
    </w:p>
    <w:p w14:paraId="463CBEB5" w14:textId="77777777" w:rsidR="00467438" w:rsidRPr="006555F7" w:rsidRDefault="00C75D90">
      <w:pPr>
        <w:pStyle w:val="BodyText"/>
        <w:ind w:left="2423" w:right="2402"/>
        <w:jc w:val="center"/>
        <w:rPr>
          <w:lang w:val="en-GB"/>
        </w:rPr>
      </w:pPr>
      <w:r w:rsidRPr="006555F7">
        <w:rPr>
          <w:lang w:val="en-GB"/>
        </w:rPr>
        <w:t>(No.9 of 2009)</w:t>
      </w:r>
    </w:p>
    <w:p w14:paraId="236D12ED" w14:textId="77777777" w:rsidR="00467438" w:rsidRPr="006555F7" w:rsidRDefault="00467438">
      <w:pPr>
        <w:pStyle w:val="BodyText"/>
        <w:spacing w:before="10"/>
        <w:rPr>
          <w:sz w:val="23"/>
          <w:lang w:val="en-GB"/>
        </w:rPr>
      </w:pPr>
    </w:p>
    <w:p w14:paraId="2A7BDA87" w14:textId="77777777" w:rsidR="00467438" w:rsidRPr="006555F7" w:rsidRDefault="00C75D90">
      <w:pPr>
        <w:pStyle w:val="BodyText"/>
        <w:spacing w:line="720" w:lineRule="auto"/>
        <w:ind w:left="2423" w:right="2402"/>
        <w:jc w:val="center"/>
        <w:rPr>
          <w:lang w:val="en-GB"/>
        </w:rPr>
      </w:pPr>
      <w:r w:rsidRPr="006555F7">
        <w:rPr>
          <w:lang w:val="en-GB"/>
        </w:rPr>
        <w:t>To levy a telecommunications service tax (Certified: 31 August 2009)</w:t>
      </w:r>
    </w:p>
    <w:p w14:paraId="6C7B2B02" w14:textId="77777777" w:rsidR="00467438" w:rsidRPr="006555F7" w:rsidRDefault="00C75D90">
      <w:pPr>
        <w:pStyle w:val="BodyText"/>
        <w:spacing w:before="19"/>
        <w:ind w:left="100"/>
        <w:rPr>
          <w:lang w:val="en-GB"/>
        </w:rPr>
      </w:pPr>
      <w:r w:rsidRPr="006555F7">
        <w:rPr>
          <w:lang w:val="en-GB"/>
        </w:rPr>
        <w:t>Enacted by the Parliament of Nauru as follows:</w:t>
      </w:r>
    </w:p>
    <w:p w14:paraId="4C2DCDE2" w14:textId="77777777" w:rsidR="00467438" w:rsidRPr="006555F7" w:rsidRDefault="00467438">
      <w:pPr>
        <w:pStyle w:val="BodyText"/>
        <w:rPr>
          <w:sz w:val="26"/>
          <w:lang w:val="en-GB"/>
        </w:rPr>
      </w:pPr>
    </w:p>
    <w:p w14:paraId="14402F25" w14:textId="77777777" w:rsidR="00467438" w:rsidRPr="006555F7" w:rsidRDefault="00C75D90">
      <w:pPr>
        <w:spacing w:before="221"/>
        <w:ind w:left="2419" w:right="2402"/>
        <w:jc w:val="center"/>
        <w:rPr>
          <w:rFonts w:ascii="Arial-BoldItalicMT"/>
          <w:b/>
          <w:i/>
          <w:sz w:val="28"/>
          <w:lang w:val="en-GB"/>
        </w:rPr>
      </w:pPr>
      <w:r w:rsidRPr="006555F7">
        <w:rPr>
          <w:rFonts w:ascii="Arial-BoldItalicMT"/>
          <w:b/>
          <w:i/>
          <w:sz w:val="28"/>
          <w:lang w:val="en-GB"/>
        </w:rPr>
        <w:t>PART I - PRELIMINARY</w:t>
      </w:r>
    </w:p>
    <w:p w14:paraId="7D5D6253" w14:textId="77777777" w:rsidR="00467438" w:rsidRPr="006555F7" w:rsidRDefault="00467438">
      <w:pPr>
        <w:pStyle w:val="BodyText"/>
        <w:rPr>
          <w:rFonts w:ascii="Arial-BoldItalicMT"/>
          <w:b/>
          <w:i/>
          <w:sz w:val="30"/>
          <w:lang w:val="en-GB"/>
        </w:rPr>
      </w:pPr>
    </w:p>
    <w:p w14:paraId="0291F9BA" w14:textId="33EC649E" w:rsidR="00467438" w:rsidRPr="006555F7" w:rsidRDefault="008D22AD" w:rsidP="008D22AD">
      <w:pPr>
        <w:pStyle w:val="Heading3"/>
        <w:tabs>
          <w:tab w:val="left" w:pos="1440"/>
        </w:tabs>
        <w:spacing w:before="0"/>
        <w:ind w:left="0"/>
        <w:rPr>
          <w:lang w:val="en-GB"/>
        </w:rPr>
      </w:pPr>
      <w:r w:rsidRPr="006555F7">
        <w:rPr>
          <w:lang w:val="en-GB"/>
        </w:rPr>
        <w:t>1.</w:t>
      </w:r>
      <w:r w:rsidRPr="006555F7">
        <w:rPr>
          <w:lang w:val="en-GB"/>
        </w:rPr>
        <w:tab/>
      </w:r>
      <w:r w:rsidR="00C75D90" w:rsidRPr="006555F7">
        <w:rPr>
          <w:lang w:val="en-GB"/>
        </w:rPr>
        <w:t>Short Title and Commencement</w:t>
      </w:r>
    </w:p>
    <w:p w14:paraId="3525F384" w14:textId="77777777" w:rsidR="00467438" w:rsidRPr="006555F7" w:rsidRDefault="00467438">
      <w:pPr>
        <w:pStyle w:val="BodyText"/>
        <w:spacing w:before="8"/>
        <w:rPr>
          <w:rFonts w:ascii="Arial"/>
          <w:b/>
          <w:sz w:val="28"/>
          <w:lang w:val="en-GB"/>
        </w:rPr>
      </w:pPr>
    </w:p>
    <w:p w14:paraId="0BFBE979" w14:textId="0EDCDEB0" w:rsidR="00467438" w:rsidRPr="006555F7" w:rsidRDefault="008D22AD" w:rsidP="008D22AD">
      <w:pPr>
        <w:tabs>
          <w:tab w:val="left" w:pos="720"/>
        </w:tabs>
        <w:ind w:left="1440" w:hanging="720"/>
        <w:rPr>
          <w:sz w:val="24"/>
          <w:lang w:val="en-GB"/>
        </w:rPr>
      </w:pPr>
      <w:r w:rsidRPr="006555F7">
        <w:rPr>
          <w:sz w:val="24"/>
          <w:lang w:val="en-GB"/>
        </w:rPr>
        <w:t>(1)</w:t>
      </w:r>
      <w:r w:rsidRPr="006555F7">
        <w:rPr>
          <w:sz w:val="24"/>
          <w:lang w:val="en-GB"/>
        </w:rPr>
        <w:tab/>
      </w:r>
      <w:r w:rsidR="00C75D90" w:rsidRPr="006555F7">
        <w:rPr>
          <w:sz w:val="24"/>
          <w:lang w:val="en-GB"/>
        </w:rPr>
        <w:t xml:space="preserve">This Act may be cited as the </w:t>
      </w:r>
      <w:r w:rsidR="00C75D90" w:rsidRPr="006555F7">
        <w:rPr>
          <w:i/>
          <w:sz w:val="24"/>
          <w:lang w:val="en-GB"/>
        </w:rPr>
        <w:t>Telecommunications Service Tax Act</w:t>
      </w:r>
      <w:r w:rsidR="00C75D90" w:rsidRPr="006555F7">
        <w:rPr>
          <w:i/>
          <w:spacing w:val="-28"/>
          <w:sz w:val="24"/>
          <w:lang w:val="en-GB"/>
        </w:rPr>
        <w:t xml:space="preserve"> </w:t>
      </w:r>
      <w:r w:rsidR="00C75D90" w:rsidRPr="006555F7">
        <w:rPr>
          <w:i/>
          <w:sz w:val="24"/>
          <w:lang w:val="en-GB"/>
        </w:rPr>
        <w:t>2009</w:t>
      </w:r>
      <w:r w:rsidR="00C75D90" w:rsidRPr="006555F7">
        <w:rPr>
          <w:sz w:val="24"/>
          <w:lang w:val="en-GB"/>
        </w:rPr>
        <w:t>.</w:t>
      </w:r>
    </w:p>
    <w:p w14:paraId="5A387B41" w14:textId="77777777" w:rsidR="00467438" w:rsidRPr="006555F7" w:rsidRDefault="00467438">
      <w:pPr>
        <w:pStyle w:val="BodyText"/>
        <w:spacing w:before="11"/>
        <w:rPr>
          <w:sz w:val="23"/>
          <w:lang w:val="en-GB"/>
        </w:rPr>
      </w:pPr>
    </w:p>
    <w:p w14:paraId="43DD6493" w14:textId="6EC2B214" w:rsidR="00467438" w:rsidRPr="006555F7" w:rsidRDefault="008D22AD" w:rsidP="008D22AD">
      <w:pPr>
        <w:pStyle w:val="ListParagraph"/>
        <w:tabs>
          <w:tab w:val="left" w:pos="720"/>
        </w:tabs>
        <w:ind w:left="1440" w:hanging="720"/>
        <w:rPr>
          <w:sz w:val="24"/>
          <w:lang w:val="en-GB"/>
        </w:rPr>
      </w:pPr>
      <w:r w:rsidRPr="006555F7">
        <w:rPr>
          <w:sz w:val="24"/>
          <w:lang w:val="en-GB"/>
        </w:rPr>
        <w:t>(2)</w:t>
      </w:r>
      <w:r w:rsidRPr="006555F7">
        <w:rPr>
          <w:sz w:val="24"/>
          <w:lang w:val="en-GB"/>
        </w:rPr>
        <w:tab/>
      </w:r>
      <w:r w:rsidR="00C75D90" w:rsidRPr="006555F7">
        <w:rPr>
          <w:sz w:val="24"/>
          <w:lang w:val="en-GB"/>
        </w:rPr>
        <w:t>This Act shall come into force on the date on which it receives the certificate of the</w:t>
      </w:r>
      <w:r w:rsidR="00C75D90" w:rsidRPr="006555F7">
        <w:rPr>
          <w:spacing w:val="-7"/>
          <w:sz w:val="24"/>
          <w:lang w:val="en-GB"/>
        </w:rPr>
        <w:t xml:space="preserve"> </w:t>
      </w:r>
      <w:r w:rsidR="00C75D90" w:rsidRPr="006555F7">
        <w:rPr>
          <w:sz w:val="24"/>
          <w:lang w:val="en-GB"/>
        </w:rPr>
        <w:t>Speaker.</w:t>
      </w:r>
    </w:p>
    <w:p w14:paraId="1F682DD3" w14:textId="77777777" w:rsidR="00467438" w:rsidRPr="006555F7" w:rsidRDefault="00467438">
      <w:pPr>
        <w:pStyle w:val="BodyText"/>
        <w:rPr>
          <w:sz w:val="26"/>
          <w:lang w:val="en-GB"/>
        </w:rPr>
      </w:pPr>
    </w:p>
    <w:p w14:paraId="7AB2C9FF" w14:textId="31F1884F" w:rsidR="00467438" w:rsidRPr="006555F7" w:rsidRDefault="008D22AD" w:rsidP="008D22AD">
      <w:pPr>
        <w:pStyle w:val="Heading3"/>
        <w:tabs>
          <w:tab w:val="left" w:pos="1440"/>
        </w:tabs>
        <w:spacing w:before="0"/>
        <w:ind w:left="0"/>
        <w:rPr>
          <w:lang w:val="en-GB"/>
        </w:rPr>
      </w:pPr>
      <w:r w:rsidRPr="006555F7">
        <w:rPr>
          <w:lang w:val="en-GB"/>
        </w:rPr>
        <w:t>2.</w:t>
      </w:r>
      <w:r w:rsidRPr="006555F7">
        <w:rPr>
          <w:lang w:val="en-GB"/>
        </w:rPr>
        <w:tab/>
      </w:r>
      <w:r w:rsidR="00C75D90" w:rsidRPr="006555F7">
        <w:rPr>
          <w:lang w:val="en-GB"/>
        </w:rPr>
        <w:t>Interpretation</w:t>
      </w:r>
    </w:p>
    <w:p w14:paraId="37FC2D61" w14:textId="77777777" w:rsidR="00467438" w:rsidRPr="006555F7" w:rsidRDefault="00467438">
      <w:pPr>
        <w:pStyle w:val="BodyText"/>
        <w:spacing w:before="10"/>
        <w:rPr>
          <w:rFonts w:ascii="Arial"/>
          <w:b/>
          <w:sz w:val="28"/>
          <w:lang w:val="en-GB"/>
        </w:rPr>
      </w:pPr>
    </w:p>
    <w:p w14:paraId="4A4CFEDD" w14:textId="77777777" w:rsidR="008D22AD" w:rsidRPr="006555F7" w:rsidRDefault="008D22AD" w:rsidP="008D22AD">
      <w:pPr>
        <w:pStyle w:val="ListParagraph"/>
        <w:tabs>
          <w:tab w:val="left" w:pos="720"/>
        </w:tabs>
        <w:ind w:left="1253" w:hanging="533"/>
        <w:rPr>
          <w:sz w:val="24"/>
          <w:lang w:val="en-GB"/>
        </w:rPr>
      </w:pPr>
      <w:r w:rsidRPr="006555F7">
        <w:rPr>
          <w:sz w:val="24"/>
          <w:lang w:val="en-GB"/>
        </w:rPr>
        <w:t>(1)</w:t>
      </w:r>
      <w:r w:rsidRPr="006555F7">
        <w:rPr>
          <w:sz w:val="24"/>
          <w:lang w:val="en-GB"/>
        </w:rPr>
        <w:tab/>
      </w:r>
      <w:r w:rsidR="00C75D90" w:rsidRPr="006555F7">
        <w:rPr>
          <w:sz w:val="24"/>
          <w:lang w:val="en-GB"/>
        </w:rPr>
        <w:t>In this Act,</w:t>
      </w:r>
      <w:r w:rsidRPr="006555F7">
        <w:rPr>
          <w:sz w:val="24"/>
          <w:lang w:val="en-GB"/>
        </w:rPr>
        <w:t xml:space="preserve"> unless the context otherwise </w:t>
      </w:r>
      <w:r w:rsidR="00C75D90" w:rsidRPr="006555F7">
        <w:rPr>
          <w:sz w:val="24"/>
          <w:lang w:val="en-GB"/>
        </w:rPr>
        <w:t xml:space="preserve">requires – </w:t>
      </w:r>
    </w:p>
    <w:p w14:paraId="006282B6" w14:textId="77777777" w:rsidR="008D22AD" w:rsidRPr="006555F7" w:rsidRDefault="008D22AD" w:rsidP="008D22AD">
      <w:pPr>
        <w:pStyle w:val="ListParagraph"/>
        <w:tabs>
          <w:tab w:val="left" w:pos="720"/>
        </w:tabs>
        <w:ind w:left="1253" w:hanging="533"/>
        <w:rPr>
          <w:sz w:val="24"/>
          <w:lang w:val="en-GB"/>
        </w:rPr>
      </w:pPr>
    </w:p>
    <w:p w14:paraId="6065B1E3" w14:textId="477A18C3" w:rsidR="00467438" w:rsidRPr="006555F7" w:rsidRDefault="008D22AD" w:rsidP="008D22AD">
      <w:pPr>
        <w:pStyle w:val="ListParagraph"/>
        <w:tabs>
          <w:tab w:val="left" w:pos="720"/>
        </w:tabs>
        <w:ind w:left="1440" w:firstLine="0"/>
        <w:rPr>
          <w:sz w:val="24"/>
          <w:lang w:val="en-GB"/>
        </w:rPr>
      </w:pPr>
      <w:r w:rsidRPr="006555F7">
        <w:rPr>
          <w:b/>
          <w:i/>
          <w:sz w:val="24"/>
          <w:lang w:val="en-GB"/>
        </w:rPr>
        <w:t>‘Minister’</w:t>
      </w:r>
      <w:r w:rsidR="00C75D90" w:rsidRPr="006555F7">
        <w:rPr>
          <w:sz w:val="24"/>
          <w:lang w:val="en-GB"/>
        </w:rPr>
        <w:t xml:space="preserve"> means the minister responsible for</w:t>
      </w:r>
      <w:r w:rsidR="00C75D90" w:rsidRPr="006555F7">
        <w:rPr>
          <w:spacing w:val="-26"/>
          <w:sz w:val="24"/>
          <w:lang w:val="en-GB"/>
        </w:rPr>
        <w:t xml:space="preserve"> </w:t>
      </w:r>
      <w:r w:rsidR="00C75D90" w:rsidRPr="006555F7">
        <w:rPr>
          <w:sz w:val="24"/>
          <w:lang w:val="en-GB"/>
        </w:rPr>
        <w:t>finance;</w:t>
      </w:r>
    </w:p>
    <w:p w14:paraId="5E3D3072" w14:textId="77777777" w:rsidR="008D22AD" w:rsidRPr="006555F7" w:rsidRDefault="008D22AD" w:rsidP="008D22AD">
      <w:pPr>
        <w:pStyle w:val="ListParagraph"/>
        <w:tabs>
          <w:tab w:val="left" w:pos="720"/>
        </w:tabs>
        <w:ind w:left="1440" w:firstLine="0"/>
        <w:rPr>
          <w:sz w:val="24"/>
          <w:lang w:val="en-GB"/>
        </w:rPr>
      </w:pPr>
    </w:p>
    <w:p w14:paraId="38662E87" w14:textId="371BD3FE" w:rsidR="00467438" w:rsidRPr="006555F7" w:rsidRDefault="008D22AD" w:rsidP="008D22AD">
      <w:pPr>
        <w:pStyle w:val="BodyText"/>
        <w:tabs>
          <w:tab w:val="left" w:pos="720"/>
        </w:tabs>
        <w:ind w:left="1440"/>
        <w:rPr>
          <w:lang w:val="en-GB"/>
        </w:rPr>
      </w:pPr>
      <w:r w:rsidRPr="006555F7">
        <w:rPr>
          <w:b/>
          <w:lang w:val="en-GB"/>
        </w:rPr>
        <w:t>‘monthly statement’</w:t>
      </w:r>
      <w:r w:rsidR="00C75D90" w:rsidRPr="006555F7">
        <w:rPr>
          <w:lang w:val="en-GB"/>
        </w:rPr>
        <w:t xml:space="preserve"> means the statement prescribed in subsection (2) of section 6;</w:t>
      </w:r>
    </w:p>
    <w:p w14:paraId="01F09132" w14:textId="77777777" w:rsidR="00467438" w:rsidRPr="006555F7" w:rsidRDefault="00467438" w:rsidP="008D22AD">
      <w:pPr>
        <w:pStyle w:val="BodyText"/>
        <w:tabs>
          <w:tab w:val="left" w:pos="720"/>
        </w:tabs>
        <w:rPr>
          <w:lang w:val="en-GB"/>
        </w:rPr>
      </w:pPr>
    </w:p>
    <w:p w14:paraId="04FEE982" w14:textId="7D53C377" w:rsidR="00467438" w:rsidRPr="006555F7" w:rsidRDefault="008D22AD" w:rsidP="008D22AD">
      <w:pPr>
        <w:pStyle w:val="BodyText"/>
        <w:tabs>
          <w:tab w:val="left" w:pos="720"/>
        </w:tabs>
        <w:ind w:left="1440"/>
        <w:rPr>
          <w:lang w:val="en-GB"/>
        </w:rPr>
      </w:pPr>
      <w:r w:rsidRPr="006555F7">
        <w:rPr>
          <w:b/>
          <w:i/>
          <w:lang w:val="en-GB"/>
        </w:rPr>
        <w:t>‘records’</w:t>
      </w:r>
      <w:r w:rsidR="00C75D90" w:rsidRPr="006555F7">
        <w:rPr>
          <w:lang w:val="en-GB"/>
        </w:rPr>
        <w:t xml:space="preserve"> means the records described in subsection (1) of section 6 including the monthly statements prescribed in subsection (2) of section 6;</w:t>
      </w:r>
    </w:p>
    <w:p w14:paraId="4250D880" w14:textId="77777777" w:rsidR="00467438" w:rsidRPr="006555F7" w:rsidRDefault="00467438" w:rsidP="008D22AD">
      <w:pPr>
        <w:pStyle w:val="BodyText"/>
        <w:tabs>
          <w:tab w:val="left" w:pos="720"/>
        </w:tabs>
        <w:ind w:left="1440"/>
        <w:rPr>
          <w:sz w:val="23"/>
          <w:lang w:val="en-GB"/>
        </w:rPr>
      </w:pPr>
    </w:p>
    <w:p w14:paraId="63603717" w14:textId="77777777" w:rsidR="008D22AD" w:rsidRPr="006555F7" w:rsidRDefault="008D22AD" w:rsidP="008D22AD">
      <w:pPr>
        <w:pStyle w:val="BodyText"/>
        <w:tabs>
          <w:tab w:val="left" w:pos="720"/>
        </w:tabs>
        <w:ind w:left="1440"/>
        <w:rPr>
          <w:lang w:val="en-GB"/>
        </w:rPr>
      </w:pPr>
      <w:r w:rsidRPr="006555F7">
        <w:rPr>
          <w:b/>
          <w:i/>
          <w:lang w:val="en-GB"/>
        </w:rPr>
        <w:t>‘Secretary’</w:t>
      </w:r>
      <w:r w:rsidR="00C75D90" w:rsidRPr="006555F7">
        <w:rPr>
          <w:lang w:val="en-GB"/>
        </w:rPr>
        <w:t xml:space="preserve"> means the head of the department responsible for finance; </w:t>
      </w:r>
    </w:p>
    <w:p w14:paraId="7636FAC3" w14:textId="77777777" w:rsidR="008D22AD" w:rsidRPr="006555F7" w:rsidRDefault="008D22AD" w:rsidP="008D22AD">
      <w:pPr>
        <w:pStyle w:val="BodyText"/>
        <w:tabs>
          <w:tab w:val="left" w:pos="720"/>
        </w:tabs>
        <w:ind w:left="1440"/>
        <w:rPr>
          <w:lang w:val="en-GB"/>
        </w:rPr>
      </w:pPr>
    </w:p>
    <w:p w14:paraId="328E80C8" w14:textId="2CC4F7FE" w:rsidR="00467438" w:rsidRPr="006555F7" w:rsidRDefault="008D22AD" w:rsidP="008D22AD">
      <w:pPr>
        <w:pStyle w:val="BodyText"/>
        <w:tabs>
          <w:tab w:val="left" w:pos="720"/>
        </w:tabs>
        <w:ind w:left="1440"/>
        <w:rPr>
          <w:lang w:val="en-GB"/>
        </w:rPr>
      </w:pPr>
      <w:r w:rsidRPr="006555F7">
        <w:rPr>
          <w:b/>
          <w:i/>
          <w:lang w:val="en-GB"/>
        </w:rPr>
        <w:lastRenderedPageBreak/>
        <w:t>‘service’</w:t>
      </w:r>
      <w:r w:rsidR="00C75D90" w:rsidRPr="006555F7">
        <w:rPr>
          <w:lang w:val="en-GB"/>
        </w:rPr>
        <w:t xml:space="preserve"> means a telecommunications ser</w:t>
      </w:r>
      <w:r w:rsidR="00C75D90" w:rsidRPr="006555F7">
        <w:rPr>
          <w:lang w:val="en-GB"/>
        </w:rPr>
        <w:t>vice;</w:t>
      </w:r>
    </w:p>
    <w:p w14:paraId="1B6AA664" w14:textId="77777777" w:rsidR="008D22AD" w:rsidRPr="006555F7" w:rsidRDefault="008D22AD" w:rsidP="008D22AD">
      <w:pPr>
        <w:pStyle w:val="BodyText"/>
        <w:tabs>
          <w:tab w:val="left" w:pos="720"/>
        </w:tabs>
        <w:ind w:left="1440"/>
        <w:rPr>
          <w:lang w:val="en-GB"/>
        </w:rPr>
      </w:pPr>
    </w:p>
    <w:p w14:paraId="1FEF3E7E" w14:textId="2FB315F8" w:rsidR="00467438" w:rsidRPr="006555F7" w:rsidRDefault="008D22AD" w:rsidP="008D22AD">
      <w:pPr>
        <w:pStyle w:val="BodyText"/>
        <w:tabs>
          <w:tab w:val="left" w:pos="720"/>
        </w:tabs>
        <w:ind w:left="1440"/>
        <w:rPr>
          <w:lang w:val="en-GB"/>
        </w:rPr>
      </w:pPr>
      <w:r w:rsidRPr="006555F7">
        <w:rPr>
          <w:b/>
          <w:i/>
          <w:lang w:val="en-GB"/>
        </w:rPr>
        <w:t>‘service provider’</w:t>
      </w:r>
      <w:r w:rsidR="00C75D90" w:rsidRPr="006555F7">
        <w:rPr>
          <w:lang w:val="en-GB"/>
        </w:rPr>
        <w:t xml:space="preserve"> means a provider of a telecommunications service licensed or authorised under the </w:t>
      </w:r>
      <w:r w:rsidR="00C75D90" w:rsidRPr="006555F7">
        <w:rPr>
          <w:i/>
          <w:lang w:val="en-GB"/>
        </w:rPr>
        <w:t>Telecommunications Act</w:t>
      </w:r>
      <w:r w:rsidR="00C75D90" w:rsidRPr="006555F7">
        <w:rPr>
          <w:lang w:val="en-GB"/>
        </w:rPr>
        <w:t>;</w:t>
      </w:r>
    </w:p>
    <w:p w14:paraId="383D2657" w14:textId="77777777" w:rsidR="00467438" w:rsidRPr="006555F7" w:rsidRDefault="00467438" w:rsidP="008D22AD">
      <w:pPr>
        <w:pStyle w:val="BodyText"/>
        <w:tabs>
          <w:tab w:val="left" w:pos="720"/>
        </w:tabs>
        <w:ind w:left="1440"/>
        <w:rPr>
          <w:lang w:val="en-GB"/>
        </w:rPr>
      </w:pPr>
    </w:p>
    <w:p w14:paraId="1CF4A4C9" w14:textId="390419B3" w:rsidR="00467438" w:rsidRPr="006555F7" w:rsidRDefault="008D22AD" w:rsidP="008D22AD">
      <w:pPr>
        <w:pStyle w:val="BodyText"/>
        <w:tabs>
          <w:tab w:val="left" w:pos="720"/>
        </w:tabs>
        <w:ind w:left="1440"/>
        <w:rPr>
          <w:lang w:val="en-GB"/>
        </w:rPr>
      </w:pPr>
      <w:r w:rsidRPr="006555F7">
        <w:rPr>
          <w:b/>
          <w:i/>
          <w:lang w:val="en-GB"/>
        </w:rPr>
        <w:t>‘tax’</w:t>
      </w:r>
      <w:r w:rsidR="00C75D90" w:rsidRPr="006555F7">
        <w:rPr>
          <w:lang w:val="en-GB"/>
        </w:rPr>
        <w:t xml:space="preserve"> means the telecommunications service tax levied under section 4;</w:t>
      </w:r>
    </w:p>
    <w:p w14:paraId="706269F0" w14:textId="77777777" w:rsidR="00467438" w:rsidRPr="006555F7" w:rsidRDefault="00467438" w:rsidP="008D22AD">
      <w:pPr>
        <w:pStyle w:val="BodyText"/>
        <w:tabs>
          <w:tab w:val="left" w:pos="720"/>
        </w:tabs>
        <w:ind w:left="1440"/>
        <w:rPr>
          <w:sz w:val="23"/>
          <w:lang w:val="en-GB"/>
        </w:rPr>
      </w:pPr>
    </w:p>
    <w:p w14:paraId="0A8721DD" w14:textId="399DA1B0" w:rsidR="00467438" w:rsidRPr="006555F7" w:rsidRDefault="008D22AD" w:rsidP="008D22AD">
      <w:pPr>
        <w:pStyle w:val="BodyText"/>
        <w:tabs>
          <w:tab w:val="left" w:pos="720"/>
        </w:tabs>
        <w:ind w:left="1440"/>
        <w:rPr>
          <w:lang w:val="en-GB"/>
        </w:rPr>
      </w:pPr>
      <w:r w:rsidRPr="006555F7">
        <w:rPr>
          <w:b/>
          <w:i/>
          <w:lang w:val="en-GB"/>
        </w:rPr>
        <w:t>‘telecommunications’</w:t>
      </w:r>
      <w:r w:rsidR="00C75D90" w:rsidRPr="006555F7">
        <w:rPr>
          <w:lang w:val="en-GB"/>
        </w:rPr>
        <w:t xml:space="preserve"> means the carriage of communica</w:t>
      </w:r>
      <w:r w:rsidR="00C75D90" w:rsidRPr="006555F7">
        <w:rPr>
          <w:lang w:val="en-GB"/>
        </w:rPr>
        <w:t>tions by means of guided or unguided electromagnetic energy or both.</w:t>
      </w:r>
    </w:p>
    <w:p w14:paraId="7D2AD08E" w14:textId="77777777" w:rsidR="00467438" w:rsidRPr="006555F7" w:rsidRDefault="00467438" w:rsidP="008D22AD">
      <w:pPr>
        <w:pStyle w:val="BodyText"/>
        <w:rPr>
          <w:sz w:val="26"/>
          <w:lang w:val="en-GB"/>
        </w:rPr>
      </w:pPr>
    </w:p>
    <w:p w14:paraId="6E8FDD68" w14:textId="5F55702E" w:rsidR="00467438" w:rsidRPr="006555F7" w:rsidRDefault="008D22AD" w:rsidP="008D22AD">
      <w:pPr>
        <w:pStyle w:val="Heading3"/>
        <w:tabs>
          <w:tab w:val="left" w:pos="1440"/>
        </w:tabs>
        <w:spacing w:before="0"/>
        <w:ind w:left="0"/>
        <w:rPr>
          <w:lang w:val="en-GB"/>
        </w:rPr>
      </w:pPr>
      <w:r w:rsidRPr="006555F7">
        <w:rPr>
          <w:lang w:val="en-GB"/>
        </w:rPr>
        <w:t>3</w:t>
      </w:r>
      <w:r w:rsidRPr="006555F7">
        <w:rPr>
          <w:lang w:val="en-GB"/>
        </w:rPr>
        <w:tab/>
      </w:r>
      <w:r w:rsidR="00C75D90" w:rsidRPr="006555F7">
        <w:rPr>
          <w:lang w:val="en-GB"/>
        </w:rPr>
        <w:t>Act to bind the Republic</w:t>
      </w:r>
    </w:p>
    <w:p w14:paraId="202DC882" w14:textId="77777777" w:rsidR="00467438" w:rsidRPr="006555F7" w:rsidRDefault="00467438">
      <w:pPr>
        <w:pStyle w:val="BodyText"/>
        <w:spacing w:before="7"/>
        <w:rPr>
          <w:rFonts w:ascii="Arial"/>
          <w:b/>
          <w:sz w:val="28"/>
          <w:lang w:val="en-GB"/>
        </w:rPr>
      </w:pPr>
    </w:p>
    <w:p w14:paraId="1771E218" w14:textId="77777777" w:rsidR="00467438" w:rsidRPr="006555F7" w:rsidRDefault="00C75D90" w:rsidP="008D22AD">
      <w:pPr>
        <w:tabs>
          <w:tab w:val="left" w:pos="720"/>
        </w:tabs>
        <w:ind w:left="720"/>
        <w:rPr>
          <w:sz w:val="24"/>
          <w:lang w:val="en-GB"/>
        </w:rPr>
      </w:pPr>
      <w:r w:rsidRPr="006555F7">
        <w:rPr>
          <w:sz w:val="24"/>
          <w:lang w:val="en-GB"/>
        </w:rPr>
        <w:t>This act binds the</w:t>
      </w:r>
      <w:r w:rsidRPr="006555F7">
        <w:rPr>
          <w:spacing w:val="-10"/>
          <w:sz w:val="24"/>
          <w:lang w:val="en-GB"/>
        </w:rPr>
        <w:t xml:space="preserve"> </w:t>
      </w:r>
      <w:r w:rsidRPr="006555F7">
        <w:rPr>
          <w:sz w:val="24"/>
          <w:lang w:val="en-GB"/>
        </w:rPr>
        <w:t>Republic.</w:t>
      </w:r>
    </w:p>
    <w:p w14:paraId="06FB7569" w14:textId="77777777" w:rsidR="00467438" w:rsidRPr="006555F7" w:rsidRDefault="00467438" w:rsidP="008D22AD">
      <w:pPr>
        <w:pStyle w:val="BodyText"/>
        <w:rPr>
          <w:sz w:val="26"/>
          <w:lang w:val="en-GB"/>
        </w:rPr>
      </w:pPr>
    </w:p>
    <w:p w14:paraId="77D3E394" w14:textId="77777777" w:rsidR="00467438" w:rsidRPr="006555F7" w:rsidRDefault="00467438" w:rsidP="008D22AD">
      <w:pPr>
        <w:pStyle w:val="BodyText"/>
        <w:rPr>
          <w:sz w:val="26"/>
          <w:lang w:val="en-GB"/>
        </w:rPr>
      </w:pPr>
    </w:p>
    <w:p w14:paraId="16CEABF0" w14:textId="77777777" w:rsidR="00467438" w:rsidRPr="006555F7" w:rsidRDefault="00C75D90" w:rsidP="008D22AD">
      <w:pPr>
        <w:pStyle w:val="Heading2"/>
        <w:spacing w:before="0"/>
        <w:rPr>
          <w:lang w:val="en-GB"/>
        </w:rPr>
      </w:pPr>
      <w:bookmarkStart w:id="1" w:name="_TOC_250002"/>
      <w:bookmarkEnd w:id="1"/>
      <w:r w:rsidRPr="006555F7">
        <w:rPr>
          <w:lang w:val="en-GB"/>
        </w:rPr>
        <w:t>PART II – TELECOMMUNICATIONS SERVICE TAX</w:t>
      </w:r>
    </w:p>
    <w:p w14:paraId="11A6E3BE" w14:textId="77777777" w:rsidR="00467438" w:rsidRPr="006555F7" w:rsidRDefault="00467438" w:rsidP="008D22AD">
      <w:pPr>
        <w:pStyle w:val="BodyText"/>
        <w:rPr>
          <w:rFonts w:ascii="Arial-BoldItalicMT"/>
          <w:b/>
          <w:i/>
          <w:sz w:val="30"/>
          <w:lang w:val="en-GB"/>
        </w:rPr>
      </w:pPr>
    </w:p>
    <w:p w14:paraId="4A7BA36D" w14:textId="7BA9E4C0" w:rsidR="00467438" w:rsidRPr="006555F7" w:rsidRDefault="008D22AD" w:rsidP="008D22AD">
      <w:pPr>
        <w:pStyle w:val="Heading3"/>
        <w:tabs>
          <w:tab w:val="left" w:pos="1440"/>
        </w:tabs>
        <w:spacing w:before="0"/>
        <w:ind w:left="0"/>
        <w:rPr>
          <w:lang w:val="en-GB"/>
        </w:rPr>
      </w:pPr>
      <w:r w:rsidRPr="006555F7">
        <w:rPr>
          <w:lang w:val="en-GB"/>
        </w:rPr>
        <w:t>4</w:t>
      </w:r>
      <w:r w:rsidRPr="006555F7">
        <w:rPr>
          <w:lang w:val="en-GB"/>
        </w:rPr>
        <w:tab/>
      </w:r>
      <w:r w:rsidR="00C75D90" w:rsidRPr="006555F7">
        <w:rPr>
          <w:lang w:val="en-GB"/>
        </w:rPr>
        <w:t>Telecommunications Service Tax</w:t>
      </w:r>
    </w:p>
    <w:p w14:paraId="0439574E" w14:textId="77777777" w:rsidR="00467438" w:rsidRPr="006555F7" w:rsidRDefault="00467438">
      <w:pPr>
        <w:pStyle w:val="BodyText"/>
        <w:spacing w:before="10"/>
        <w:rPr>
          <w:rFonts w:ascii="Arial"/>
          <w:b/>
          <w:sz w:val="28"/>
          <w:lang w:val="en-GB"/>
        </w:rPr>
      </w:pPr>
    </w:p>
    <w:p w14:paraId="26D7027C" w14:textId="66AC0FDE" w:rsidR="00467438" w:rsidRPr="006555F7" w:rsidRDefault="008C60BD" w:rsidP="008C60BD">
      <w:pPr>
        <w:tabs>
          <w:tab w:val="left" w:pos="532"/>
          <w:tab w:val="left" w:pos="533"/>
          <w:tab w:val="left" w:pos="720"/>
        </w:tabs>
        <w:ind w:left="1440" w:hanging="720"/>
        <w:rPr>
          <w:sz w:val="24"/>
          <w:lang w:val="en-GB"/>
        </w:rPr>
      </w:pPr>
      <w:r w:rsidRPr="006555F7">
        <w:rPr>
          <w:sz w:val="24"/>
          <w:lang w:val="en-GB"/>
        </w:rPr>
        <w:t>(1)</w:t>
      </w:r>
      <w:r w:rsidRPr="006555F7">
        <w:rPr>
          <w:sz w:val="24"/>
          <w:lang w:val="en-GB"/>
        </w:rPr>
        <w:tab/>
      </w:r>
      <w:r w:rsidR="00C75D90" w:rsidRPr="006555F7">
        <w:rPr>
          <w:sz w:val="24"/>
          <w:lang w:val="en-GB"/>
        </w:rPr>
        <w:t xml:space="preserve">A service provider becomes liable on the last day of each month to pay to the Republic the telecommunications service tax calculated in accordance with subsection (2) in respect of the telecommunications services provided </w:t>
      </w:r>
      <w:r w:rsidR="00C75D90" w:rsidRPr="006555F7">
        <w:rPr>
          <w:spacing w:val="1"/>
          <w:sz w:val="24"/>
          <w:lang w:val="en-GB"/>
        </w:rPr>
        <w:t xml:space="preserve">by </w:t>
      </w:r>
      <w:r w:rsidR="00C75D90" w:rsidRPr="006555F7">
        <w:rPr>
          <w:sz w:val="24"/>
          <w:lang w:val="en-GB"/>
        </w:rPr>
        <w:t>it in</w:t>
      </w:r>
      <w:r w:rsidR="00C75D90" w:rsidRPr="006555F7">
        <w:rPr>
          <w:spacing w:val="-35"/>
          <w:sz w:val="24"/>
          <w:lang w:val="en-GB"/>
        </w:rPr>
        <w:t xml:space="preserve"> </w:t>
      </w:r>
      <w:r w:rsidR="00C75D90" w:rsidRPr="006555F7">
        <w:rPr>
          <w:sz w:val="24"/>
          <w:lang w:val="en-GB"/>
        </w:rPr>
        <w:t>that month.</w:t>
      </w:r>
    </w:p>
    <w:p w14:paraId="21871CE6" w14:textId="77777777" w:rsidR="00467438" w:rsidRPr="006555F7" w:rsidRDefault="00467438" w:rsidP="008C60BD">
      <w:pPr>
        <w:pStyle w:val="BodyText"/>
        <w:tabs>
          <w:tab w:val="left" w:pos="720"/>
        </w:tabs>
        <w:ind w:left="1440" w:hanging="720"/>
        <w:rPr>
          <w:sz w:val="23"/>
          <w:lang w:val="en-GB"/>
        </w:rPr>
      </w:pPr>
    </w:p>
    <w:p w14:paraId="576C72D4" w14:textId="1CE8CB6C" w:rsidR="00467438" w:rsidRPr="006555F7" w:rsidRDefault="008D22AD" w:rsidP="008C60BD">
      <w:pPr>
        <w:tabs>
          <w:tab w:val="left" w:pos="720"/>
          <w:tab w:val="left" w:pos="872"/>
        </w:tabs>
        <w:ind w:left="1440" w:hanging="720"/>
        <w:rPr>
          <w:sz w:val="24"/>
          <w:lang w:val="en-GB"/>
        </w:rPr>
      </w:pPr>
      <w:r w:rsidRPr="006555F7">
        <w:rPr>
          <w:sz w:val="24"/>
          <w:lang w:val="en-GB"/>
        </w:rPr>
        <w:t>(2)</w:t>
      </w:r>
      <w:r w:rsidRPr="006555F7">
        <w:rPr>
          <w:sz w:val="24"/>
          <w:lang w:val="en-GB"/>
        </w:rPr>
        <w:tab/>
      </w:r>
      <w:r w:rsidR="00C75D90" w:rsidRPr="006555F7">
        <w:rPr>
          <w:sz w:val="24"/>
          <w:lang w:val="en-GB"/>
        </w:rPr>
        <w:t>The amou</w:t>
      </w:r>
      <w:r w:rsidR="00C75D90" w:rsidRPr="006555F7">
        <w:rPr>
          <w:sz w:val="24"/>
          <w:lang w:val="en-GB"/>
        </w:rPr>
        <w:t xml:space="preserve">nt of telecommunications service tax payable is </w:t>
      </w:r>
      <w:r w:rsidR="0097251D" w:rsidRPr="006555F7">
        <w:rPr>
          <w:sz w:val="24"/>
          <w:lang w:val="en-GB"/>
        </w:rPr>
        <w:t>fifteen</w:t>
      </w:r>
      <w:r w:rsidR="00C75D90" w:rsidRPr="006555F7">
        <w:rPr>
          <w:sz w:val="24"/>
          <w:lang w:val="en-GB"/>
        </w:rPr>
        <w:t xml:space="preserve"> per cent of the total gross sales revenue received by the service provider in respect of sales of telecommunications services in a calendar</w:t>
      </w:r>
      <w:r w:rsidR="00C75D90" w:rsidRPr="006555F7">
        <w:rPr>
          <w:spacing w:val="-21"/>
          <w:sz w:val="24"/>
          <w:lang w:val="en-GB"/>
        </w:rPr>
        <w:t xml:space="preserve"> </w:t>
      </w:r>
      <w:r w:rsidR="00C75D90" w:rsidRPr="006555F7">
        <w:rPr>
          <w:sz w:val="24"/>
          <w:lang w:val="en-GB"/>
        </w:rPr>
        <w:t>month.</w:t>
      </w:r>
    </w:p>
    <w:p w14:paraId="767E0F98" w14:textId="77777777" w:rsidR="00467438" w:rsidRPr="006555F7" w:rsidRDefault="00467438" w:rsidP="008C60BD">
      <w:pPr>
        <w:pStyle w:val="BodyText"/>
        <w:tabs>
          <w:tab w:val="left" w:pos="720"/>
        </w:tabs>
        <w:ind w:left="1440" w:hanging="720"/>
        <w:rPr>
          <w:sz w:val="23"/>
          <w:lang w:val="en-GB"/>
        </w:rPr>
      </w:pPr>
    </w:p>
    <w:p w14:paraId="5D293F97" w14:textId="1255198C" w:rsidR="00467438" w:rsidRPr="006555F7" w:rsidRDefault="008C60BD" w:rsidP="008C60BD">
      <w:pPr>
        <w:pStyle w:val="ListParagraph"/>
        <w:tabs>
          <w:tab w:val="left" w:pos="720"/>
          <w:tab w:val="left" w:pos="872"/>
        </w:tabs>
        <w:ind w:left="1440" w:hanging="720"/>
        <w:rPr>
          <w:sz w:val="24"/>
          <w:lang w:val="en-GB"/>
        </w:rPr>
      </w:pPr>
      <w:r w:rsidRPr="006555F7">
        <w:rPr>
          <w:sz w:val="24"/>
          <w:lang w:val="en-GB"/>
        </w:rPr>
        <w:t>(3)</w:t>
      </w:r>
      <w:r w:rsidRPr="006555F7">
        <w:rPr>
          <w:sz w:val="24"/>
          <w:lang w:val="en-GB"/>
        </w:rPr>
        <w:tab/>
      </w:r>
      <w:r w:rsidR="00C75D90" w:rsidRPr="006555F7">
        <w:rPr>
          <w:sz w:val="24"/>
          <w:lang w:val="en-GB"/>
        </w:rPr>
        <w:t>A service provider must pay the telecommunications servi</w:t>
      </w:r>
      <w:r w:rsidR="00C75D90" w:rsidRPr="006555F7">
        <w:rPr>
          <w:sz w:val="24"/>
          <w:lang w:val="en-GB"/>
        </w:rPr>
        <w:t>ce tax within one month of having become liable under subsection (1) to pay the</w:t>
      </w:r>
      <w:r w:rsidR="00C75D90" w:rsidRPr="006555F7">
        <w:rPr>
          <w:spacing w:val="-27"/>
          <w:sz w:val="24"/>
          <w:lang w:val="en-GB"/>
        </w:rPr>
        <w:t xml:space="preserve"> </w:t>
      </w:r>
      <w:r w:rsidR="00C75D90" w:rsidRPr="006555F7">
        <w:rPr>
          <w:sz w:val="24"/>
          <w:lang w:val="en-GB"/>
        </w:rPr>
        <w:t>tax.</w:t>
      </w:r>
    </w:p>
    <w:p w14:paraId="127969FC" w14:textId="77777777" w:rsidR="00467438" w:rsidRPr="006555F7" w:rsidRDefault="00467438" w:rsidP="008C60BD">
      <w:pPr>
        <w:pStyle w:val="BodyText"/>
        <w:tabs>
          <w:tab w:val="left" w:pos="720"/>
        </w:tabs>
        <w:ind w:left="1440" w:hanging="720"/>
        <w:rPr>
          <w:sz w:val="23"/>
          <w:lang w:val="en-GB"/>
        </w:rPr>
      </w:pPr>
    </w:p>
    <w:p w14:paraId="56E3B220" w14:textId="62FA2733" w:rsidR="00467438" w:rsidRPr="006555F7" w:rsidRDefault="008D22AD" w:rsidP="00F477BB">
      <w:pPr>
        <w:pStyle w:val="ListParagraph"/>
        <w:tabs>
          <w:tab w:val="left" w:pos="720"/>
          <w:tab w:val="left" w:pos="872"/>
        </w:tabs>
        <w:ind w:left="1440" w:hanging="720"/>
        <w:rPr>
          <w:sz w:val="24"/>
          <w:lang w:val="en-GB"/>
        </w:rPr>
      </w:pPr>
      <w:r w:rsidRPr="006555F7">
        <w:rPr>
          <w:sz w:val="24"/>
          <w:lang w:val="en-GB"/>
        </w:rPr>
        <w:t>(4)</w:t>
      </w:r>
      <w:r w:rsidRPr="006555F7">
        <w:rPr>
          <w:sz w:val="24"/>
          <w:lang w:val="en-GB"/>
        </w:rPr>
        <w:tab/>
      </w:r>
      <w:r w:rsidR="00C75D90" w:rsidRPr="006555F7">
        <w:rPr>
          <w:sz w:val="24"/>
          <w:lang w:val="en-GB"/>
        </w:rPr>
        <w:t xml:space="preserve">A service provider must submit the monthly statement </w:t>
      </w:r>
      <w:r w:rsidR="00F477BB" w:rsidRPr="006555F7">
        <w:rPr>
          <w:sz w:val="24"/>
          <w:lang w:val="en-GB"/>
        </w:rPr>
        <w:t>within one month of having become liable to pay tax under subsection (1)</w:t>
      </w:r>
      <w:r w:rsidR="00C75D90" w:rsidRPr="006555F7">
        <w:rPr>
          <w:sz w:val="24"/>
          <w:lang w:val="en-GB"/>
        </w:rPr>
        <w:t>.</w:t>
      </w:r>
    </w:p>
    <w:p w14:paraId="5B054773" w14:textId="77777777" w:rsidR="00467438" w:rsidRPr="006555F7" w:rsidRDefault="00467438">
      <w:pPr>
        <w:pStyle w:val="BodyText"/>
        <w:rPr>
          <w:lang w:val="en-GB"/>
        </w:rPr>
      </w:pPr>
    </w:p>
    <w:p w14:paraId="1456C910" w14:textId="3158CE17" w:rsidR="0097251D" w:rsidRPr="006555F7" w:rsidRDefault="0097251D" w:rsidP="0097251D">
      <w:pPr>
        <w:pStyle w:val="BodyText"/>
        <w:rPr>
          <w:sz w:val="23"/>
          <w:lang w:val="en-GB"/>
        </w:rPr>
      </w:pPr>
      <w:r w:rsidRPr="006555F7">
        <w:rPr>
          <w:i/>
          <w:lang w:val="en-GB"/>
        </w:rPr>
        <w:t>History: Subsection (2) amended by the Telecommunications Service Tax (Amendment) Act 2016 (Act No. 47 of 2016</w:t>
      </w:r>
      <w:r w:rsidR="00F477BB" w:rsidRPr="006555F7">
        <w:rPr>
          <w:i/>
          <w:lang w:val="en-GB"/>
        </w:rPr>
        <w:t>)</w:t>
      </w:r>
      <w:r w:rsidRPr="006555F7">
        <w:rPr>
          <w:i/>
          <w:lang w:val="en-GB"/>
        </w:rPr>
        <w:t xml:space="preserve"> by deleting “ten” and substituting “fifteen”. </w:t>
      </w:r>
    </w:p>
    <w:p w14:paraId="2923FFD0" w14:textId="380449C0" w:rsidR="0097251D" w:rsidRPr="006555F7" w:rsidRDefault="0097251D" w:rsidP="0097251D">
      <w:pPr>
        <w:pStyle w:val="BodyText"/>
        <w:rPr>
          <w:i/>
          <w:lang w:val="en-GB"/>
        </w:rPr>
      </w:pPr>
      <w:r w:rsidRPr="006555F7">
        <w:rPr>
          <w:i/>
          <w:lang w:val="en-GB"/>
        </w:rPr>
        <w:t xml:space="preserve"> </w:t>
      </w:r>
    </w:p>
    <w:p w14:paraId="65198662" w14:textId="76EC0488" w:rsidR="0097251D" w:rsidRPr="006555F7" w:rsidRDefault="0097251D" w:rsidP="0097251D">
      <w:pPr>
        <w:pStyle w:val="BodyText"/>
        <w:rPr>
          <w:i/>
          <w:lang w:val="en-GB"/>
        </w:rPr>
      </w:pPr>
      <w:r w:rsidRPr="006555F7">
        <w:rPr>
          <w:i/>
          <w:lang w:val="en-GB"/>
        </w:rPr>
        <w:t xml:space="preserve">The </w:t>
      </w:r>
      <w:r w:rsidRPr="006555F7">
        <w:rPr>
          <w:i/>
          <w:lang w:val="en-GB"/>
        </w:rPr>
        <w:t xml:space="preserve">Telecommunications Service Tax </w:t>
      </w:r>
      <w:r w:rsidRPr="006555F7">
        <w:rPr>
          <w:i/>
          <w:lang w:val="en-GB"/>
        </w:rPr>
        <w:t>(Amendment) Act 2016 (Act No. 47 of 2016) came into force on 8 September 2016.</w:t>
      </w:r>
    </w:p>
    <w:p w14:paraId="37607BE2" w14:textId="77777777" w:rsidR="00F477BB" w:rsidRPr="006555F7" w:rsidRDefault="00F477BB" w:rsidP="0097251D">
      <w:pPr>
        <w:pStyle w:val="BodyText"/>
        <w:rPr>
          <w:i/>
          <w:lang w:val="en-GB"/>
        </w:rPr>
      </w:pPr>
    </w:p>
    <w:p w14:paraId="0B7D6093" w14:textId="3CF6F7E8" w:rsidR="00F477BB" w:rsidRPr="006555F7" w:rsidRDefault="00F477BB" w:rsidP="0097251D">
      <w:pPr>
        <w:pStyle w:val="BodyText"/>
        <w:rPr>
          <w:i/>
          <w:lang w:val="en-GB"/>
        </w:rPr>
      </w:pPr>
      <w:r w:rsidRPr="006555F7">
        <w:rPr>
          <w:i/>
          <w:lang w:val="en-GB"/>
        </w:rPr>
        <w:t xml:space="preserve">Subsection (4) amended by the </w:t>
      </w:r>
      <w:r w:rsidRPr="006555F7">
        <w:rPr>
          <w:i/>
          <w:lang w:val="en-GB"/>
        </w:rPr>
        <w:t xml:space="preserve">Telecommunications Service Tax (Amendment) </w:t>
      </w:r>
      <w:r w:rsidRPr="006555F7">
        <w:rPr>
          <w:i/>
          <w:lang w:val="en-GB"/>
        </w:rPr>
        <w:t xml:space="preserve">No. 2 </w:t>
      </w:r>
      <w:r w:rsidRPr="006555F7">
        <w:rPr>
          <w:i/>
          <w:lang w:val="en-GB"/>
        </w:rPr>
        <w:t xml:space="preserve">Act 2016 (Act No. </w:t>
      </w:r>
      <w:r w:rsidRPr="006555F7">
        <w:rPr>
          <w:i/>
          <w:lang w:val="en-GB"/>
        </w:rPr>
        <w:t>52</w:t>
      </w:r>
      <w:r w:rsidRPr="006555F7">
        <w:rPr>
          <w:i/>
          <w:lang w:val="en-GB"/>
        </w:rPr>
        <w:t xml:space="preserve"> of 2016</w:t>
      </w:r>
      <w:r w:rsidRPr="006555F7">
        <w:rPr>
          <w:i/>
          <w:lang w:val="en-GB"/>
        </w:rPr>
        <w:t>). Subsection (4) formerly read:</w:t>
      </w:r>
    </w:p>
    <w:p w14:paraId="784962EC" w14:textId="77777777" w:rsidR="00F477BB" w:rsidRPr="006555F7" w:rsidRDefault="00F477BB" w:rsidP="0097251D">
      <w:pPr>
        <w:pStyle w:val="BodyText"/>
        <w:rPr>
          <w:i/>
          <w:lang w:val="en-GB"/>
        </w:rPr>
      </w:pPr>
    </w:p>
    <w:p w14:paraId="7D00DE74" w14:textId="7BA185FC" w:rsidR="00F477BB" w:rsidRPr="006555F7" w:rsidRDefault="00F477BB" w:rsidP="00F477BB">
      <w:pPr>
        <w:pStyle w:val="ListParagraph"/>
        <w:tabs>
          <w:tab w:val="left" w:pos="720"/>
          <w:tab w:val="left" w:pos="872"/>
        </w:tabs>
        <w:ind w:left="1440" w:hanging="720"/>
        <w:rPr>
          <w:i/>
          <w:sz w:val="24"/>
          <w:lang w:val="en-GB"/>
        </w:rPr>
      </w:pPr>
      <w:r w:rsidRPr="006555F7">
        <w:rPr>
          <w:sz w:val="24"/>
          <w:lang w:val="en-GB"/>
        </w:rPr>
        <w:t>“</w:t>
      </w:r>
      <w:r w:rsidRPr="006555F7">
        <w:rPr>
          <w:sz w:val="24"/>
          <w:lang w:val="en-GB"/>
        </w:rPr>
        <w:t>(</w:t>
      </w:r>
      <w:r w:rsidRPr="006555F7">
        <w:rPr>
          <w:i/>
          <w:sz w:val="24"/>
          <w:lang w:val="en-GB"/>
        </w:rPr>
        <w:t>4)</w:t>
      </w:r>
      <w:r w:rsidRPr="006555F7">
        <w:rPr>
          <w:i/>
          <w:sz w:val="24"/>
          <w:lang w:val="en-GB"/>
        </w:rPr>
        <w:tab/>
        <w:t>A service provider must submit the monthly statement at the time of</w:t>
      </w:r>
      <w:r w:rsidRPr="006555F7">
        <w:rPr>
          <w:i/>
          <w:spacing w:val="-30"/>
          <w:sz w:val="24"/>
          <w:lang w:val="en-GB"/>
        </w:rPr>
        <w:t xml:space="preserve"> </w:t>
      </w:r>
      <w:r w:rsidRPr="006555F7">
        <w:rPr>
          <w:i/>
          <w:sz w:val="24"/>
          <w:lang w:val="en-GB"/>
        </w:rPr>
        <w:t>payment.</w:t>
      </w:r>
      <w:r w:rsidRPr="006555F7">
        <w:rPr>
          <w:i/>
          <w:sz w:val="24"/>
          <w:lang w:val="en-GB"/>
        </w:rPr>
        <w:t>”</w:t>
      </w:r>
    </w:p>
    <w:p w14:paraId="67463B66" w14:textId="77777777" w:rsidR="00F477BB" w:rsidRPr="006555F7" w:rsidRDefault="00F477BB" w:rsidP="00F477BB">
      <w:pPr>
        <w:pStyle w:val="BodyText"/>
        <w:ind w:left="1440" w:right="720" w:hanging="720"/>
        <w:rPr>
          <w:i/>
          <w:lang w:val="en-GB"/>
        </w:rPr>
      </w:pPr>
    </w:p>
    <w:p w14:paraId="65F553FB" w14:textId="70DF9EB8" w:rsidR="00F477BB" w:rsidRPr="006555F7" w:rsidRDefault="00F477BB" w:rsidP="00F477BB">
      <w:pPr>
        <w:pStyle w:val="BodyText"/>
        <w:rPr>
          <w:i/>
          <w:lang w:val="en-GB"/>
        </w:rPr>
      </w:pPr>
      <w:r w:rsidRPr="006555F7">
        <w:rPr>
          <w:i/>
          <w:lang w:val="en-GB"/>
        </w:rPr>
        <w:t xml:space="preserve">The Telecommunications Service Tax (Amendment) </w:t>
      </w:r>
      <w:r w:rsidRPr="006555F7">
        <w:rPr>
          <w:i/>
          <w:lang w:val="en-GB"/>
        </w:rPr>
        <w:t xml:space="preserve">No. 2 </w:t>
      </w:r>
      <w:r w:rsidRPr="006555F7">
        <w:rPr>
          <w:i/>
          <w:lang w:val="en-GB"/>
        </w:rPr>
        <w:t xml:space="preserve">Act 2016 (Act No. </w:t>
      </w:r>
      <w:r w:rsidRPr="006555F7">
        <w:rPr>
          <w:i/>
          <w:lang w:val="en-GB"/>
        </w:rPr>
        <w:t>52</w:t>
      </w:r>
      <w:r w:rsidRPr="006555F7">
        <w:rPr>
          <w:i/>
          <w:lang w:val="en-GB"/>
        </w:rPr>
        <w:t xml:space="preserve"> of 2016) came into force on </w:t>
      </w:r>
      <w:r w:rsidRPr="006555F7">
        <w:rPr>
          <w:i/>
          <w:lang w:val="en-GB"/>
        </w:rPr>
        <w:t>4</w:t>
      </w:r>
      <w:r w:rsidRPr="006555F7">
        <w:rPr>
          <w:i/>
          <w:lang w:val="en-GB"/>
        </w:rPr>
        <w:t xml:space="preserve"> </w:t>
      </w:r>
      <w:r w:rsidRPr="006555F7">
        <w:rPr>
          <w:i/>
          <w:lang w:val="en-GB"/>
        </w:rPr>
        <w:t>November</w:t>
      </w:r>
      <w:r w:rsidRPr="006555F7">
        <w:rPr>
          <w:i/>
          <w:lang w:val="en-GB"/>
        </w:rPr>
        <w:t xml:space="preserve"> 2016.</w:t>
      </w:r>
    </w:p>
    <w:p w14:paraId="0FA3AC0A" w14:textId="77777777" w:rsidR="00F477BB" w:rsidRPr="006555F7" w:rsidRDefault="00F477BB" w:rsidP="00F477BB">
      <w:pPr>
        <w:pStyle w:val="BodyText"/>
        <w:rPr>
          <w:i/>
          <w:lang w:val="en-GB"/>
        </w:rPr>
      </w:pPr>
    </w:p>
    <w:p w14:paraId="29D0A7C8" w14:textId="77777777" w:rsidR="0097251D" w:rsidRPr="006555F7" w:rsidRDefault="0097251D">
      <w:pPr>
        <w:pStyle w:val="BodyText"/>
        <w:rPr>
          <w:lang w:val="en-GB"/>
        </w:rPr>
      </w:pPr>
    </w:p>
    <w:p w14:paraId="7492E7F5" w14:textId="77777777" w:rsidR="00467438" w:rsidRPr="006555F7" w:rsidRDefault="00467438">
      <w:pPr>
        <w:pStyle w:val="BodyText"/>
        <w:spacing w:before="1"/>
        <w:rPr>
          <w:lang w:val="en-GB"/>
        </w:rPr>
      </w:pPr>
    </w:p>
    <w:p w14:paraId="42D99266" w14:textId="77777777" w:rsidR="00467438" w:rsidRPr="006555F7" w:rsidRDefault="00C75D90">
      <w:pPr>
        <w:pStyle w:val="Heading2"/>
        <w:spacing w:before="92"/>
        <w:ind w:left="2514"/>
        <w:rPr>
          <w:lang w:val="en-GB"/>
        </w:rPr>
      </w:pPr>
      <w:bookmarkStart w:id="2" w:name="_TOC_250001"/>
      <w:bookmarkEnd w:id="2"/>
      <w:r w:rsidRPr="006555F7">
        <w:rPr>
          <w:lang w:val="en-GB"/>
        </w:rPr>
        <w:t>PART III – ADMINISTRATION</w:t>
      </w:r>
    </w:p>
    <w:p w14:paraId="2FD21837" w14:textId="77777777" w:rsidR="00467438" w:rsidRPr="006555F7" w:rsidRDefault="00467438">
      <w:pPr>
        <w:pStyle w:val="BodyText"/>
        <w:rPr>
          <w:rFonts w:ascii="Arial-BoldItalicMT"/>
          <w:b/>
          <w:i/>
          <w:sz w:val="30"/>
          <w:lang w:val="en-GB"/>
        </w:rPr>
      </w:pPr>
    </w:p>
    <w:p w14:paraId="29F7C28F" w14:textId="71E9ACC2" w:rsidR="00467438" w:rsidRPr="006555F7" w:rsidRDefault="008C60BD" w:rsidP="008C60BD">
      <w:pPr>
        <w:pStyle w:val="Heading3"/>
        <w:tabs>
          <w:tab w:val="left" w:pos="1440"/>
        </w:tabs>
        <w:spacing w:before="0"/>
        <w:ind w:left="0"/>
        <w:rPr>
          <w:lang w:val="en-GB"/>
        </w:rPr>
      </w:pPr>
      <w:r w:rsidRPr="006555F7">
        <w:rPr>
          <w:lang w:val="en-GB"/>
        </w:rPr>
        <w:t>5</w:t>
      </w:r>
      <w:r w:rsidRPr="006555F7">
        <w:rPr>
          <w:lang w:val="en-GB"/>
        </w:rPr>
        <w:tab/>
      </w:r>
      <w:r w:rsidR="00C75D90" w:rsidRPr="006555F7">
        <w:rPr>
          <w:lang w:val="en-GB"/>
        </w:rPr>
        <w:t>Payment and collection</w:t>
      </w:r>
    </w:p>
    <w:p w14:paraId="20EFB3DB" w14:textId="77777777" w:rsidR="00467438" w:rsidRPr="006555F7" w:rsidRDefault="00467438">
      <w:pPr>
        <w:pStyle w:val="BodyText"/>
        <w:spacing w:before="8"/>
        <w:rPr>
          <w:rFonts w:ascii="Arial"/>
          <w:b/>
          <w:sz w:val="28"/>
          <w:lang w:val="en-GB"/>
        </w:rPr>
      </w:pPr>
    </w:p>
    <w:p w14:paraId="1CB2E6D1" w14:textId="18CC0605" w:rsidR="00467438" w:rsidRPr="006555F7" w:rsidRDefault="00C75D90" w:rsidP="00604FEA">
      <w:pPr>
        <w:pStyle w:val="ListParagraph"/>
        <w:tabs>
          <w:tab w:val="left" w:pos="720"/>
        </w:tabs>
        <w:ind w:left="720" w:firstLine="0"/>
        <w:rPr>
          <w:sz w:val="24"/>
          <w:lang w:val="en-GB"/>
        </w:rPr>
      </w:pPr>
      <w:r w:rsidRPr="006555F7">
        <w:rPr>
          <w:sz w:val="24"/>
          <w:lang w:val="en-GB"/>
        </w:rPr>
        <w:t xml:space="preserve">The mode of payment and collection of tax shall be </w:t>
      </w:r>
      <w:r w:rsidR="00604FEA" w:rsidRPr="006555F7">
        <w:rPr>
          <w:sz w:val="24"/>
          <w:lang w:val="en-GB"/>
        </w:rPr>
        <w:t>in accordance with Part 7 of the Revenue Administration Act 2014.</w:t>
      </w:r>
    </w:p>
    <w:p w14:paraId="164D8ED5" w14:textId="77777777" w:rsidR="00467438" w:rsidRPr="006555F7" w:rsidRDefault="00467438">
      <w:pPr>
        <w:pStyle w:val="BodyText"/>
        <w:spacing w:before="3"/>
        <w:rPr>
          <w:sz w:val="21"/>
          <w:lang w:val="en-GB"/>
        </w:rPr>
      </w:pPr>
    </w:p>
    <w:p w14:paraId="6D5FBF30" w14:textId="36814438" w:rsidR="00F477BB" w:rsidRPr="006555F7" w:rsidRDefault="00F477BB" w:rsidP="00F477BB">
      <w:pPr>
        <w:pStyle w:val="BodyText"/>
        <w:rPr>
          <w:i/>
          <w:lang w:val="en-GB"/>
        </w:rPr>
      </w:pPr>
      <w:r w:rsidRPr="006555F7">
        <w:rPr>
          <w:i/>
          <w:lang w:val="en-GB"/>
        </w:rPr>
        <w:t>History: Section 5</w:t>
      </w:r>
      <w:r w:rsidRPr="006555F7">
        <w:rPr>
          <w:i/>
          <w:lang w:val="en-GB"/>
        </w:rPr>
        <w:t xml:space="preserve"> amended by the Telecommunications Service Tax (Amendment) No. 2 Act 2016 (Act No. 52 of 2016</w:t>
      </w:r>
      <w:r w:rsidRPr="006555F7">
        <w:rPr>
          <w:i/>
          <w:lang w:val="en-GB"/>
        </w:rPr>
        <w:t>). Section 5</w:t>
      </w:r>
      <w:r w:rsidRPr="006555F7">
        <w:rPr>
          <w:i/>
          <w:lang w:val="en-GB"/>
        </w:rPr>
        <w:t xml:space="preserve"> formerly read:</w:t>
      </w:r>
    </w:p>
    <w:p w14:paraId="0D368C07" w14:textId="77777777" w:rsidR="00F477BB" w:rsidRPr="006555F7" w:rsidRDefault="00F477BB" w:rsidP="00F477BB">
      <w:pPr>
        <w:pStyle w:val="BodyText"/>
        <w:rPr>
          <w:i/>
          <w:lang w:val="en-GB"/>
        </w:rPr>
      </w:pPr>
    </w:p>
    <w:p w14:paraId="00A69820" w14:textId="3F2EAEC3" w:rsidR="00F477BB" w:rsidRPr="006555F7" w:rsidRDefault="00F477BB" w:rsidP="00F477BB">
      <w:pPr>
        <w:pStyle w:val="ListParagraph"/>
        <w:tabs>
          <w:tab w:val="left" w:pos="720"/>
          <w:tab w:val="left" w:pos="872"/>
        </w:tabs>
        <w:ind w:left="720" w:right="720" w:firstLine="0"/>
        <w:rPr>
          <w:i/>
          <w:sz w:val="24"/>
          <w:szCs w:val="24"/>
          <w:lang w:val="en-GB"/>
        </w:rPr>
      </w:pPr>
      <w:r w:rsidRPr="006555F7">
        <w:rPr>
          <w:i/>
          <w:sz w:val="24"/>
          <w:szCs w:val="24"/>
          <w:lang w:val="en-GB"/>
        </w:rPr>
        <w:t>“</w:t>
      </w:r>
      <w:r w:rsidRPr="006555F7">
        <w:rPr>
          <w:i/>
          <w:sz w:val="24"/>
          <w:lang w:val="en-GB"/>
        </w:rPr>
        <w:t xml:space="preserve">The mode of payment and collection of tax shall be determined </w:t>
      </w:r>
      <w:r w:rsidRPr="006555F7">
        <w:rPr>
          <w:i/>
          <w:spacing w:val="1"/>
          <w:sz w:val="24"/>
          <w:lang w:val="en-GB"/>
        </w:rPr>
        <w:t xml:space="preserve">by </w:t>
      </w:r>
      <w:r w:rsidRPr="006555F7">
        <w:rPr>
          <w:i/>
          <w:sz w:val="24"/>
          <w:lang w:val="en-GB"/>
        </w:rPr>
        <w:t>the Minister</w:t>
      </w:r>
      <w:r w:rsidRPr="006555F7">
        <w:rPr>
          <w:i/>
          <w:spacing w:val="-33"/>
          <w:sz w:val="24"/>
          <w:lang w:val="en-GB"/>
        </w:rPr>
        <w:t xml:space="preserve"> </w:t>
      </w:r>
      <w:r w:rsidRPr="006555F7">
        <w:rPr>
          <w:i/>
          <w:sz w:val="24"/>
          <w:lang w:val="en-GB"/>
        </w:rPr>
        <w:t>on the recommendation of the Secretary, and notified in the</w:t>
      </w:r>
      <w:r w:rsidRPr="006555F7">
        <w:rPr>
          <w:i/>
          <w:spacing w:val="-28"/>
          <w:sz w:val="24"/>
          <w:lang w:val="en-GB"/>
        </w:rPr>
        <w:t xml:space="preserve"> </w:t>
      </w:r>
      <w:r w:rsidRPr="006555F7">
        <w:rPr>
          <w:i/>
          <w:sz w:val="24"/>
          <w:lang w:val="en-GB"/>
        </w:rPr>
        <w:t>Gazette</w:t>
      </w:r>
      <w:r w:rsidRPr="006555F7">
        <w:rPr>
          <w:i/>
          <w:sz w:val="24"/>
          <w:szCs w:val="24"/>
          <w:lang w:val="en-GB"/>
        </w:rPr>
        <w:t>.</w:t>
      </w:r>
      <w:r w:rsidRPr="006555F7">
        <w:rPr>
          <w:i/>
          <w:sz w:val="24"/>
          <w:szCs w:val="24"/>
          <w:lang w:val="en-GB"/>
        </w:rPr>
        <w:t>”</w:t>
      </w:r>
    </w:p>
    <w:p w14:paraId="1226C437" w14:textId="77777777" w:rsidR="00F477BB" w:rsidRPr="006555F7" w:rsidRDefault="00F477BB" w:rsidP="00F477BB">
      <w:pPr>
        <w:pStyle w:val="BodyText"/>
        <w:ind w:left="1440" w:right="720" w:hanging="720"/>
        <w:rPr>
          <w:i/>
          <w:lang w:val="en-GB"/>
        </w:rPr>
      </w:pPr>
    </w:p>
    <w:p w14:paraId="74423B7C" w14:textId="77777777" w:rsidR="00F477BB" w:rsidRPr="006555F7" w:rsidRDefault="00F477BB" w:rsidP="00F477BB">
      <w:pPr>
        <w:pStyle w:val="BodyText"/>
        <w:rPr>
          <w:i/>
          <w:lang w:val="en-GB"/>
        </w:rPr>
      </w:pPr>
      <w:r w:rsidRPr="006555F7">
        <w:rPr>
          <w:i/>
          <w:lang w:val="en-GB"/>
        </w:rPr>
        <w:t>The Telecommunications Service Tax (Amendment) No. 2 Act 2016 (Act No. 52 of 2016) came into force on 4 November 2016.</w:t>
      </w:r>
    </w:p>
    <w:p w14:paraId="31BECCBC" w14:textId="48728B88" w:rsidR="00F477BB" w:rsidRPr="006555F7" w:rsidRDefault="00F477BB">
      <w:pPr>
        <w:pStyle w:val="BodyText"/>
        <w:spacing w:before="3"/>
        <w:rPr>
          <w:i/>
          <w:sz w:val="21"/>
          <w:lang w:val="en-GB"/>
        </w:rPr>
      </w:pPr>
    </w:p>
    <w:p w14:paraId="386D4FFB" w14:textId="2C958B02" w:rsidR="00467438" w:rsidRPr="006555F7" w:rsidRDefault="008C60BD" w:rsidP="00971010">
      <w:pPr>
        <w:pStyle w:val="Heading3"/>
        <w:tabs>
          <w:tab w:val="left" w:pos="1440"/>
        </w:tabs>
        <w:spacing w:before="0"/>
        <w:ind w:left="0"/>
        <w:rPr>
          <w:lang w:val="en-GB"/>
        </w:rPr>
      </w:pPr>
      <w:r w:rsidRPr="006555F7">
        <w:rPr>
          <w:lang w:val="en-GB"/>
        </w:rPr>
        <w:t>6</w:t>
      </w:r>
      <w:r w:rsidRPr="006555F7">
        <w:rPr>
          <w:lang w:val="en-GB"/>
        </w:rPr>
        <w:tab/>
      </w:r>
      <w:r w:rsidR="00C75D90" w:rsidRPr="006555F7">
        <w:rPr>
          <w:lang w:val="en-GB"/>
        </w:rPr>
        <w:t>Records</w:t>
      </w:r>
    </w:p>
    <w:p w14:paraId="54A2186A" w14:textId="77777777" w:rsidR="00467438" w:rsidRPr="006555F7" w:rsidRDefault="00467438">
      <w:pPr>
        <w:pStyle w:val="BodyText"/>
        <w:spacing w:before="7"/>
        <w:rPr>
          <w:rFonts w:ascii="Arial"/>
          <w:b/>
          <w:sz w:val="28"/>
          <w:lang w:val="en-GB"/>
        </w:rPr>
      </w:pPr>
    </w:p>
    <w:p w14:paraId="698F783E" w14:textId="0006F8C6" w:rsidR="00467438" w:rsidRPr="006555F7" w:rsidRDefault="00740656" w:rsidP="00740656">
      <w:pPr>
        <w:tabs>
          <w:tab w:val="left" w:pos="532"/>
          <w:tab w:val="left" w:pos="533"/>
          <w:tab w:val="left" w:pos="720"/>
        </w:tabs>
        <w:ind w:left="1440" w:hanging="720"/>
        <w:rPr>
          <w:sz w:val="24"/>
          <w:lang w:val="en-GB"/>
        </w:rPr>
      </w:pPr>
      <w:r w:rsidRPr="006555F7">
        <w:rPr>
          <w:sz w:val="24"/>
          <w:lang w:val="en-GB"/>
        </w:rPr>
        <w:t>(1)</w:t>
      </w:r>
      <w:r w:rsidRPr="006555F7">
        <w:rPr>
          <w:sz w:val="24"/>
          <w:lang w:val="en-GB"/>
        </w:rPr>
        <w:tab/>
      </w:r>
      <w:r w:rsidR="00C75D90" w:rsidRPr="006555F7">
        <w:rPr>
          <w:sz w:val="24"/>
          <w:lang w:val="en-GB"/>
        </w:rPr>
        <w:t>A service provider must keep complete and accurate records of prices charged for each of the telecommunications services it provides and of the details of all transactions for the sale of telecommunications</w:t>
      </w:r>
      <w:r w:rsidR="00C75D90" w:rsidRPr="006555F7">
        <w:rPr>
          <w:spacing w:val="-25"/>
          <w:sz w:val="24"/>
          <w:lang w:val="en-GB"/>
        </w:rPr>
        <w:t xml:space="preserve"> </w:t>
      </w:r>
      <w:r w:rsidR="00C75D90" w:rsidRPr="006555F7">
        <w:rPr>
          <w:sz w:val="24"/>
          <w:lang w:val="en-GB"/>
        </w:rPr>
        <w:t>services.</w:t>
      </w:r>
    </w:p>
    <w:p w14:paraId="4004C547" w14:textId="77777777" w:rsidR="00467438" w:rsidRPr="006555F7" w:rsidRDefault="00467438" w:rsidP="00740656">
      <w:pPr>
        <w:pStyle w:val="BodyText"/>
        <w:tabs>
          <w:tab w:val="left" w:pos="720"/>
        </w:tabs>
        <w:ind w:left="1440" w:hanging="720"/>
        <w:rPr>
          <w:lang w:val="en-GB"/>
        </w:rPr>
      </w:pPr>
    </w:p>
    <w:p w14:paraId="12111E12" w14:textId="1F062886" w:rsidR="00467438" w:rsidRPr="006555F7" w:rsidRDefault="00740656" w:rsidP="00740656">
      <w:pPr>
        <w:pStyle w:val="ListParagraph"/>
        <w:tabs>
          <w:tab w:val="left" w:pos="720"/>
          <w:tab w:val="left" w:pos="872"/>
        </w:tabs>
        <w:ind w:left="1440" w:hanging="720"/>
        <w:rPr>
          <w:sz w:val="24"/>
          <w:lang w:val="en-GB"/>
        </w:rPr>
      </w:pPr>
      <w:r w:rsidRPr="006555F7">
        <w:rPr>
          <w:sz w:val="24"/>
          <w:lang w:val="en-GB"/>
        </w:rPr>
        <w:t>(2)</w:t>
      </w:r>
      <w:r w:rsidRPr="006555F7">
        <w:rPr>
          <w:sz w:val="24"/>
          <w:lang w:val="en-GB"/>
        </w:rPr>
        <w:tab/>
      </w:r>
      <w:r w:rsidR="00C75D90" w:rsidRPr="006555F7">
        <w:rPr>
          <w:sz w:val="24"/>
          <w:lang w:val="en-GB"/>
        </w:rPr>
        <w:t xml:space="preserve">A service provider must produce a </w:t>
      </w:r>
      <w:r w:rsidR="00C75D90" w:rsidRPr="006555F7">
        <w:rPr>
          <w:sz w:val="24"/>
          <w:lang w:val="en-GB"/>
        </w:rPr>
        <w:t>monthly statement that includes a full and true disclosure of all transactions for the sale of telecommunications services in a calendar</w:t>
      </w:r>
      <w:r w:rsidR="00C75D90" w:rsidRPr="006555F7">
        <w:rPr>
          <w:spacing w:val="-7"/>
          <w:sz w:val="24"/>
          <w:lang w:val="en-GB"/>
        </w:rPr>
        <w:t xml:space="preserve"> </w:t>
      </w:r>
      <w:r w:rsidR="00C75D90" w:rsidRPr="006555F7">
        <w:rPr>
          <w:sz w:val="24"/>
          <w:lang w:val="en-GB"/>
        </w:rPr>
        <w:t>month.</w:t>
      </w:r>
    </w:p>
    <w:p w14:paraId="35BB53E2" w14:textId="77777777" w:rsidR="00467438" w:rsidRPr="006555F7" w:rsidRDefault="00467438" w:rsidP="00740656">
      <w:pPr>
        <w:pStyle w:val="BodyText"/>
        <w:tabs>
          <w:tab w:val="left" w:pos="720"/>
        </w:tabs>
        <w:ind w:left="1440" w:hanging="720"/>
        <w:rPr>
          <w:sz w:val="23"/>
          <w:lang w:val="en-GB"/>
        </w:rPr>
      </w:pPr>
    </w:p>
    <w:p w14:paraId="6E8DD98B" w14:textId="4A4D6489" w:rsidR="00467438" w:rsidRPr="006555F7" w:rsidRDefault="00740656" w:rsidP="00740656">
      <w:pPr>
        <w:pStyle w:val="ListParagraph"/>
        <w:tabs>
          <w:tab w:val="left" w:pos="720"/>
          <w:tab w:val="left" w:pos="872"/>
        </w:tabs>
        <w:ind w:left="1440" w:hanging="720"/>
        <w:rPr>
          <w:sz w:val="24"/>
          <w:lang w:val="en-GB"/>
        </w:rPr>
      </w:pPr>
      <w:r w:rsidRPr="006555F7">
        <w:rPr>
          <w:sz w:val="24"/>
          <w:lang w:val="en-GB"/>
        </w:rPr>
        <w:t>(3)</w:t>
      </w:r>
      <w:r w:rsidRPr="006555F7">
        <w:rPr>
          <w:sz w:val="24"/>
          <w:lang w:val="en-GB"/>
        </w:rPr>
        <w:tab/>
      </w:r>
      <w:r w:rsidR="00C75D90" w:rsidRPr="006555F7">
        <w:rPr>
          <w:sz w:val="24"/>
          <w:lang w:val="en-GB"/>
        </w:rPr>
        <w:t xml:space="preserve">The Secretary or his delegate is authorised to inspect the records of any service provider for the purposes of </w:t>
      </w:r>
      <w:r w:rsidR="00C75D90" w:rsidRPr="006555F7">
        <w:rPr>
          <w:sz w:val="24"/>
          <w:lang w:val="en-GB"/>
        </w:rPr>
        <w:t>administering this</w:t>
      </w:r>
      <w:r w:rsidR="00C75D90" w:rsidRPr="006555F7">
        <w:rPr>
          <w:spacing w:val="-22"/>
          <w:sz w:val="24"/>
          <w:lang w:val="en-GB"/>
        </w:rPr>
        <w:t xml:space="preserve"> </w:t>
      </w:r>
      <w:r w:rsidR="00C75D90" w:rsidRPr="006555F7">
        <w:rPr>
          <w:sz w:val="24"/>
          <w:lang w:val="en-GB"/>
        </w:rPr>
        <w:t>Act.</w:t>
      </w:r>
    </w:p>
    <w:p w14:paraId="52DF9E89" w14:textId="77777777" w:rsidR="00467438" w:rsidRPr="006555F7" w:rsidRDefault="00467438" w:rsidP="00740656">
      <w:pPr>
        <w:pStyle w:val="BodyText"/>
        <w:tabs>
          <w:tab w:val="left" w:pos="720"/>
        </w:tabs>
        <w:ind w:left="1440" w:hanging="720"/>
        <w:rPr>
          <w:sz w:val="23"/>
          <w:lang w:val="en-GB"/>
        </w:rPr>
      </w:pPr>
    </w:p>
    <w:p w14:paraId="67D1BD1E" w14:textId="1616BD08" w:rsidR="00467438" w:rsidRPr="006555F7" w:rsidRDefault="00740656" w:rsidP="00740656">
      <w:pPr>
        <w:pStyle w:val="ListParagraph"/>
        <w:tabs>
          <w:tab w:val="left" w:pos="720"/>
          <w:tab w:val="left" w:pos="872"/>
        </w:tabs>
        <w:ind w:left="1440" w:hanging="720"/>
        <w:rPr>
          <w:sz w:val="24"/>
          <w:lang w:val="en-GB"/>
        </w:rPr>
      </w:pPr>
      <w:r w:rsidRPr="006555F7">
        <w:rPr>
          <w:sz w:val="24"/>
          <w:lang w:val="en-GB"/>
        </w:rPr>
        <w:t>(4)</w:t>
      </w:r>
      <w:r w:rsidRPr="006555F7">
        <w:rPr>
          <w:sz w:val="24"/>
          <w:lang w:val="en-GB"/>
        </w:rPr>
        <w:tab/>
      </w:r>
      <w:r w:rsidR="00C75D90" w:rsidRPr="006555F7">
        <w:rPr>
          <w:sz w:val="24"/>
          <w:lang w:val="en-GB"/>
        </w:rPr>
        <w:t>Where the Secretary authorises a delegate to inspect the records of any service provider he must issue the delegate with a written and signed authorisation, which authorisation must relate to the specific inspection proposed, and t</w:t>
      </w:r>
      <w:r w:rsidR="00C75D90" w:rsidRPr="006555F7">
        <w:rPr>
          <w:sz w:val="24"/>
          <w:lang w:val="en-GB"/>
        </w:rPr>
        <w:t>he delegate shall produce such written authorisation upon the request of the specified service</w:t>
      </w:r>
      <w:r w:rsidR="00C75D90" w:rsidRPr="006555F7">
        <w:rPr>
          <w:spacing w:val="-34"/>
          <w:sz w:val="24"/>
          <w:lang w:val="en-GB"/>
        </w:rPr>
        <w:t xml:space="preserve"> </w:t>
      </w:r>
      <w:r w:rsidR="00C75D90" w:rsidRPr="006555F7">
        <w:rPr>
          <w:sz w:val="24"/>
          <w:lang w:val="en-GB"/>
        </w:rPr>
        <w:t>provider.</w:t>
      </w:r>
    </w:p>
    <w:p w14:paraId="74510F72" w14:textId="77777777" w:rsidR="00467438" w:rsidRPr="006555F7" w:rsidRDefault="00467438" w:rsidP="00740656">
      <w:pPr>
        <w:pStyle w:val="BodyText"/>
        <w:tabs>
          <w:tab w:val="left" w:pos="720"/>
        </w:tabs>
        <w:ind w:left="1440" w:hanging="720"/>
        <w:rPr>
          <w:sz w:val="23"/>
          <w:lang w:val="en-GB"/>
        </w:rPr>
      </w:pPr>
    </w:p>
    <w:p w14:paraId="64CA89AA" w14:textId="015E868B" w:rsidR="00467438" w:rsidRPr="006555F7" w:rsidRDefault="00740656" w:rsidP="00740656">
      <w:pPr>
        <w:pStyle w:val="ListParagraph"/>
        <w:tabs>
          <w:tab w:val="left" w:pos="720"/>
          <w:tab w:val="left" w:pos="874"/>
        </w:tabs>
        <w:ind w:left="1440" w:hanging="720"/>
        <w:rPr>
          <w:sz w:val="24"/>
          <w:lang w:val="en-GB"/>
        </w:rPr>
      </w:pPr>
      <w:r w:rsidRPr="006555F7">
        <w:rPr>
          <w:sz w:val="24"/>
          <w:lang w:val="en-GB"/>
        </w:rPr>
        <w:t>(5)</w:t>
      </w:r>
      <w:r w:rsidRPr="006555F7">
        <w:rPr>
          <w:sz w:val="24"/>
          <w:lang w:val="en-GB"/>
        </w:rPr>
        <w:tab/>
      </w:r>
      <w:r w:rsidR="00C75D90" w:rsidRPr="006555F7">
        <w:rPr>
          <w:sz w:val="24"/>
          <w:lang w:val="en-GB"/>
        </w:rPr>
        <w:t>In addition to any penalty to which a service provider may be liable under</w:t>
      </w:r>
      <w:r w:rsidR="00C75D90" w:rsidRPr="006555F7">
        <w:rPr>
          <w:spacing w:val="-34"/>
          <w:sz w:val="24"/>
          <w:lang w:val="en-GB"/>
        </w:rPr>
        <w:t xml:space="preserve"> </w:t>
      </w:r>
      <w:r w:rsidR="00C75D90" w:rsidRPr="006555F7">
        <w:rPr>
          <w:sz w:val="24"/>
          <w:lang w:val="en-GB"/>
        </w:rPr>
        <w:t>section 12, 14 or 15 for an offence relating to records, a service provider</w:t>
      </w:r>
      <w:r w:rsidR="00C75D90" w:rsidRPr="006555F7">
        <w:rPr>
          <w:sz w:val="24"/>
          <w:lang w:val="en-GB"/>
        </w:rPr>
        <w:t xml:space="preserve"> that fails to keep records as required under this section may have their licence or authorisation suspended or</w:t>
      </w:r>
      <w:r w:rsidR="00C75D90" w:rsidRPr="006555F7">
        <w:rPr>
          <w:spacing w:val="-9"/>
          <w:sz w:val="24"/>
          <w:lang w:val="en-GB"/>
        </w:rPr>
        <w:t xml:space="preserve"> </w:t>
      </w:r>
      <w:r w:rsidR="00C75D90" w:rsidRPr="006555F7">
        <w:rPr>
          <w:sz w:val="24"/>
          <w:lang w:val="en-GB"/>
        </w:rPr>
        <w:t>cancelled.</w:t>
      </w:r>
    </w:p>
    <w:p w14:paraId="49102556" w14:textId="77777777" w:rsidR="00467438" w:rsidRPr="006555F7" w:rsidRDefault="00467438">
      <w:pPr>
        <w:pStyle w:val="BodyText"/>
        <w:rPr>
          <w:sz w:val="26"/>
          <w:lang w:val="en-GB"/>
        </w:rPr>
      </w:pPr>
    </w:p>
    <w:p w14:paraId="0B752146" w14:textId="01621F47" w:rsidR="00467438" w:rsidRPr="006555F7" w:rsidRDefault="00740656" w:rsidP="00740656">
      <w:pPr>
        <w:pStyle w:val="Heading3"/>
        <w:tabs>
          <w:tab w:val="left" w:pos="1440"/>
        </w:tabs>
        <w:spacing w:before="0"/>
        <w:ind w:left="0"/>
        <w:rPr>
          <w:lang w:val="en-GB"/>
        </w:rPr>
      </w:pPr>
      <w:r w:rsidRPr="006555F7">
        <w:rPr>
          <w:lang w:val="en-GB"/>
        </w:rPr>
        <w:t>7</w:t>
      </w:r>
      <w:r w:rsidRPr="006555F7">
        <w:rPr>
          <w:lang w:val="en-GB"/>
        </w:rPr>
        <w:tab/>
      </w:r>
      <w:r w:rsidR="00C75D90" w:rsidRPr="006555F7">
        <w:rPr>
          <w:lang w:val="en-GB"/>
        </w:rPr>
        <w:t>Administration of the Act</w:t>
      </w:r>
    </w:p>
    <w:p w14:paraId="278A236B" w14:textId="77777777" w:rsidR="00467438" w:rsidRPr="006555F7" w:rsidRDefault="00467438">
      <w:pPr>
        <w:pStyle w:val="BodyText"/>
        <w:spacing w:before="10"/>
        <w:rPr>
          <w:rFonts w:ascii="Arial"/>
          <w:b/>
          <w:sz w:val="28"/>
          <w:lang w:val="en-GB"/>
        </w:rPr>
      </w:pPr>
    </w:p>
    <w:p w14:paraId="2684A30B" w14:textId="53AA9C5C" w:rsidR="00740656" w:rsidRPr="006555F7" w:rsidRDefault="00C75D90" w:rsidP="00740656">
      <w:pPr>
        <w:pStyle w:val="ListParagraph"/>
        <w:tabs>
          <w:tab w:val="left" w:pos="720"/>
        </w:tabs>
        <w:ind w:left="1440" w:hanging="720"/>
        <w:rPr>
          <w:sz w:val="24"/>
          <w:lang w:val="en-GB"/>
        </w:rPr>
      </w:pPr>
      <w:r w:rsidRPr="006555F7">
        <w:rPr>
          <w:sz w:val="24"/>
          <w:lang w:val="en-GB"/>
        </w:rPr>
        <w:t xml:space="preserve">This Act shall be administered </w:t>
      </w:r>
      <w:r w:rsidRPr="006555F7">
        <w:rPr>
          <w:spacing w:val="1"/>
          <w:sz w:val="24"/>
          <w:lang w:val="en-GB"/>
        </w:rPr>
        <w:t xml:space="preserve">by </w:t>
      </w:r>
      <w:r w:rsidRPr="006555F7">
        <w:rPr>
          <w:sz w:val="24"/>
          <w:lang w:val="en-GB"/>
        </w:rPr>
        <w:t xml:space="preserve">the </w:t>
      </w:r>
      <w:r w:rsidR="00604FEA" w:rsidRPr="006555F7">
        <w:rPr>
          <w:sz w:val="24"/>
          <w:lang w:val="en-GB"/>
        </w:rPr>
        <w:t>Secretary</w:t>
      </w:r>
      <w:r w:rsidRPr="006555F7">
        <w:rPr>
          <w:sz w:val="24"/>
          <w:lang w:val="en-GB"/>
        </w:rPr>
        <w:t>.</w:t>
      </w:r>
    </w:p>
    <w:p w14:paraId="5DD180E5" w14:textId="77777777" w:rsidR="00740656" w:rsidRPr="006555F7" w:rsidRDefault="00740656" w:rsidP="00740656">
      <w:pPr>
        <w:pStyle w:val="ListParagraph"/>
        <w:tabs>
          <w:tab w:val="left" w:pos="720"/>
          <w:tab w:val="left" w:pos="1440"/>
        </w:tabs>
        <w:ind w:left="0" w:firstLine="0"/>
        <w:rPr>
          <w:sz w:val="24"/>
          <w:lang w:val="en-GB"/>
        </w:rPr>
      </w:pPr>
    </w:p>
    <w:p w14:paraId="534F243A" w14:textId="6BA0A6C0" w:rsidR="00604FEA" w:rsidRPr="006555F7" w:rsidRDefault="00604FEA" w:rsidP="00604FEA">
      <w:pPr>
        <w:pStyle w:val="BodyText"/>
        <w:rPr>
          <w:i/>
          <w:lang w:val="en-GB"/>
        </w:rPr>
      </w:pPr>
      <w:r w:rsidRPr="006555F7">
        <w:rPr>
          <w:i/>
          <w:lang w:val="en-GB"/>
        </w:rPr>
        <w:t xml:space="preserve">History: Section </w:t>
      </w:r>
      <w:r w:rsidRPr="006555F7">
        <w:rPr>
          <w:i/>
          <w:lang w:val="en-GB"/>
        </w:rPr>
        <w:t>7</w:t>
      </w:r>
      <w:r w:rsidRPr="006555F7">
        <w:rPr>
          <w:i/>
          <w:lang w:val="en-GB"/>
        </w:rPr>
        <w:t xml:space="preserve"> amended by the Telecommunications Service Tax (Amendment) No. 2 Act 2016 (Act No. 52 of 2016). Section </w:t>
      </w:r>
      <w:r w:rsidRPr="006555F7">
        <w:rPr>
          <w:i/>
          <w:lang w:val="en-GB"/>
        </w:rPr>
        <w:t>7</w:t>
      </w:r>
      <w:r w:rsidRPr="006555F7">
        <w:rPr>
          <w:i/>
          <w:lang w:val="en-GB"/>
        </w:rPr>
        <w:t xml:space="preserve"> formerly read:</w:t>
      </w:r>
    </w:p>
    <w:p w14:paraId="1E2DA0A3" w14:textId="77777777" w:rsidR="00604FEA" w:rsidRPr="006555F7" w:rsidRDefault="00604FEA" w:rsidP="00604FEA">
      <w:pPr>
        <w:pStyle w:val="BodyText"/>
        <w:rPr>
          <w:i/>
          <w:lang w:val="en-GB"/>
        </w:rPr>
      </w:pPr>
    </w:p>
    <w:p w14:paraId="57783F57" w14:textId="759865EB" w:rsidR="00604FEA" w:rsidRPr="006555F7" w:rsidRDefault="00604FEA" w:rsidP="00604FEA">
      <w:pPr>
        <w:pStyle w:val="ListParagraph"/>
        <w:tabs>
          <w:tab w:val="left" w:pos="720"/>
          <w:tab w:val="left" w:pos="872"/>
        </w:tabs>
        <w:ind w:left="720" w:right="720" w:firstLine="0"/>
        <w:rPr>
          <w:i/>
          <w:sz w:val="24"/>
          <w:szCs w:val="24"/>
          <w:lang w:val="en-GB"/>
        </w:rPr>
      </w:pPr>
      <w:r w:rsidRPr="006555F7">
        <w:rPr>
          <w:i/>
          <w:sz w:val="24"/>
          <w:szCs w:val="24"/>
          <w:lang w:val="en-GB"/>
        </w:rPr>
        <w:t>“</w:t>
      </w:r>
      <w:r w:rsidRPr="006555F7">
        <w:rPr>
          <w:i/>
          <w:sz w:val="24"/>
          <w:szCs w:val="24"/>
          <w:lang w:val="en-GB"/>
        </w:rPr>
        <w:t>This Act shall be administered by the Minister responsible for finance.</w:t>
      </w:r>
      <w:r w:rsidRPr="006555F7">
        <w:rPr>
          <w:i/>
          <w:sz w:val="24"/>
          <w:szCs w:val="24"/>
          <w:lang w:val="en-GB"/>
        </w:rPr>
        <w:t>”</w:t>
      </w:r>
    </w:p>
    <w:p w14:paraId="3B22DA4D" w14:textId="77777777" w:rsidR="00604FEA" w:rsidRPr="006555F7" w:rsidRDefault="00604FEA" w:rsidP="00604FEA">
      <w:pPr>
        <w:pStyle w:val="BodyText"/>
        <w:ind w:left="1440" w:right="720" w:hanging="720"/>
        <w:rPr>
          <w:i/>
          <w:lang w:val="en-GB"/>
        </w:rPr>
      </w:pPr>
    </w:p>
    <w:p w14:paraId="431D92D1" w14:textId="77777777" w:rsidR="00604FEA" w:rsidRPr="006555F7" w:rsidRDefault="00604FEA" w:rsidP="00604FEA">
      <w:pPr>
        <w:pStyle w:val="BodyText"/>
        <w:rPr>
          <w:i/>
          <w:lang w:val="en-GB"/>
        </w:rPr>
      </w:pPr>
      <w:r w:rsidRPr="006555F7">
        <w:rPr>
          <w:i/>
          <w:lang w:val="en-GB"/>
        </w:rPr>
        <w:t>The Telecommunications Service Tax (Amendment) No. 2 Act 2016 (Act No. 52 of 2016) came into force on 4 November 2016.</w:t>
      </w:r>
    </w:p>
    <w:p w14:paraId="42B30A6E" w14:textId="77777777" w:rsidR="00604FEA" w:rsidRPr="006555F7" w:rsidRDefault="00604FEA" w:rsidP="00740656">
      <w:pPr>
        <w:pStyle w:val="ListParagraph"/>
        <w:tabs>
          <w:tab w:val="left" w:pos="720"/>
          <w:tab w:val="left" w:pos="1440"/>
        </w:tabs>
        <w:ind w:left="0" w:firstLine="0"/>
        <w:rPr>
          <w:sz w:val="24"/>
          <w:lang w:val="en-GB"/>
        </w:rPr>
      </w:pPr>
    </w:p>
    <w:p w14:paraId="0F93F038" w14:textId="77777777" w:rsidR="00604FEA" w:rsidRPr="006555F7" w:rsidRDefault="00604FEA" w:rsidP="00740656">
      <w:pPr>
        <w:pStyle w:val="ListParagraph"/>
        <w:tabs>
          <w:tab w:val="left" w:pos="720"/>
          <w:tab w:val="left" w:pos="1440"/>
        </w:tabs>
        <w:ind w:left="0" w:firstLine="0"/>
        <w:rPr>
          <w:sz w:val="24"/>
          <w:lang w:val="en-GB"/>
        </w:rPr>
      </w:pPr>
    </w:p>
    <w:p w14:paraId="527ECF92" w14:textId="0DCAC3EA" w:rsidR="00467438" w:rsidRPr="006555F7" w:rsidRDefault="00740656" w:rsidP="00740656">
      <w:pPr>
        <w:pStyle w:val="Heading3"/>
        <w:tabs>
          <w:tab w:val="left" w:pos="1440"/>
        </w:tabs>
        <w:spacing w:before="0"/>
        <w:ind w:left="0"/>
        <w:rPr>
          <w:lang w:val="en-GB"/>
        </w:rPr>
      </w:pPr>
      <w:r w:rsidRPr="006555F7">
        <w:rPr>
          <w:lang w:val="en-GB"/>
        </w:rPr>
        <w:t>8</w:t>
      </w:r>
      <w:r w:rsidRPr="006555F7">
        <w:rPr>
          <w:lang w:val="en-GB"/>
        </w:rPr>
        <w:tab/>
      </w:r>
      <w:r w:rsidR="00C75D90" w:rsidRPr="006555F7">
        <w:rPr>
          <w:lang w:val="en-GB"/>
        </w:rPr>
        <w:t>R</w:t>
      </w:r>
      <w:r w:rsidR="00C75D90" w:rsidRPr="006555F7">
        <w:rPr>
          <w:lang w:val="en-GB"/>
        </w:rPr>
        <w:t>egulations</w:t>
      </w:r>
    </w:p>
    <w:p w14:paraId="65EDFA8A" w14:textId="77777777" w:rsidR="00467438" w:rsidRPr="006555F7" w:rsidRDefault="00467438" w:rsidP="00740656">
      <w:pPr>
        <w:pStyle w:val="BodyText"/>
        <w:tabs>
          <w:tab w:val="left" w:pos="1440"/>
        </w:tabs>
        <w:rPr>
          <w:rFonts w:ascii="Arial"/>
          <w:b/>
          <w:sz w:val="28"/>
          <w:lang w:val="en-GB"/>
        </w:rPr>
      </w:pPr>
    </w:p>
    <w:p w14:paraId="329E570F" w14:textId="54D38D5D" w:rsidR="00467438" w:rsidRPr="006555F7" w:rsidRDefault="00C75D90" w:rsidP="00740656">
      <w:pPr>
        <w:pStyle w:val="ListParagraph"/>
        <w:tabs>
          <w:tab w:val="left" w:pos="720"/>
        </w:tabs>
        <w:ind w:left="720" w:firstLine="0"/>
        <w:rPr>
          <w:sz w:val="24"/>
          <w:lang w:val="en-GB"/>
        </w:rPr>
      </w:pPr>
      <w:r w:rsidRPr="006555F7">
        <w:rPr>
          <w:sz w:val="24"/>
          <w:lang w:val="en-GB"/>
        </w:rPr>
        <w:t>Cabinet may make regulations prescribing matters necessary or convenient to be prescribed to give effect to this Act, including provisions for waiver or exemption from tax liability on specified</w:t>
      </w:r>
      <w:r w:rsidRPr="006555F7">
        <w:rPr>
          <w:spacing w:val="-17"/>
          <w:sz w:val="24"/>
          <w:lang w:val="en-GB"/>
        </w:rPr>
        <w:t xml:space="preserve"> </w:t>
      </w:r>
      <w:r w:rsidRPr="006555F7">
        <w:rPr>
          <w:sz w:val="24"/>
          <w:lang w:val="en-GB"/>
        </w:rPr>
        <w:t>grounds.</w:t>
      </w:r>
    </w:p>
    <w:p w14:paraId="7F7E9B69" w14:textId="77777777" w:rsidR="00467438" w:rsidRPr="006555F7" w:rsidRDefault="00467438">
      <w:pPr>
        <w:pStyle w:val="BodyText"/>
        <w:rPr>
          <w:sz w:val="21"/>
          <w:lang w:val="en-GB"/>
        </w:rPr>
      </w:pPr>
    </w:p>
    <w:p w14:paraId="371CF77E" w14:textId="52E2F92F" w:rsidR="00467438" w:rsidRPr="006555F7" w:rsidRDefault="00740656" w:rsidP="00740656">
      <w:pPr>
        <w:pStyle w:val="Heading3"/>
        <w:tabs>
          <w:tab w:val="left" w:pos="1440"/>
        </w:tabs>
        <w:spacing w:before="0"/>
        <w:ind w:left="0"/>
        <w:rPr>
          <w:lang w:val="en-GB"/>
        </w:rPr>
      </w:pPr>
      <w:r w:rsidRPr="006555F7">
        <w:rPr>
          <w:lang w:val="en-GB"/>
        </w:rPr>
        <w:t>9</w:t>
      </w:r>
      <w:r w:rsidRPr="006555F7">
        <w:rPr>
          <w:lang w:val="en-GB"/>
        </w:rPr>
        <w:tab/>
      </w:r>
      <w:r w:rsidR="00C75D90" w:rsidRPr="006555F7">
        <w:rPr>
          <w:lang w:val="en-GB"/>
        </w:rPr>
        <w:t>Application of Revenue</w:t>
      </w:r>
    </w:p>
    <w:p w14:paraId="6D4F696C" w14:textId="77777777" w:rsidR="00467438" w:rsidRPr="006555F7" w:rsidRDefault="00467438">
      <w:pPr>
        <w:pStyle w:val="BodyText"/>
        <w:spacing w:before="10"/>
        <w:rPr>
          <w:rFonts w:ascii="Arial"/>
          <w:b/>
          <w:sz w:val="28"/>
          <w:lang w:val="en-GB"/>
        </w:rPr>
      </w:pPr>
    </w:p>
    <w:p w14:paraId="1A8C4D79" w14:textId="77777777" w:rsidR="00467438" w:rsidRPr="006555F7" w:rsidRDefault="00C75D90" w:rsidP="00740656">
      <w:pPr>
        <w:pStyle w:val="ListParagraph"/>
        <w:tabs>
          <w:tab w:val="left" w:pos="720"/>
        </w:tabs>
        <w:ind w:left="720" w:firstLine="0"/>
        <w:rPr>
          <w:sz w:val="24"/>
          <w:lang w:val="en-GB"/>
        </w:rPr>
      </w:pPr>
      <w:r w:rsidRPr="006555F7">
        <w:rPr>
          <w:sz w:val="24"/>
          <w:lang w:val="en-GB"/>
        </w:rPr>
        <w:t xml:space="preserve">All revenues received </w:t>
      </w:r>
      <w:r w:rsidRPr="006555F7">
        <w:rPr>
          <w:spacing w:val="1"/>
          <w:sz w:val="24"/>
          <w:lang w:val="en-GB"/>
        </w:rPr>
        <w:t xml:space="preserve">by </w:t>
      </w:r>
      <w:r w:rsidRPr="006555F7">
        <w:rPr>
          <w:sz w:val="24"/>
          <w:lang w:val="en-GB"/>
        </w:rPr>
        <w:t>the Republic from the collection of the tax must be</w:t>
      </w:r>
      <w:r w:rsidRPr="006555F7">
        <w:rPr>
          <w:spacing w:val="-34"/>
          <w:sz w:val="24"/>
          <w:lang w:val="en-GB"/>
        </w:rPr>
        <w:t xml:space="preserve"> </w:t>
      </w:r>
      <w:r w:rsidRPr="006555F7">
        <w:rPr>
          <w:sz w:val="24"/>
          <w:lang w:val="en-GB"/>
        </w:rPr>
        <w:t>paid into the Treasury</w:t>
      </w:r>
      <w:r w:rsidRPr="006555F7">
        <w:rPr>
          <w:spacing w:val="-10"/>
          <w:sz w:val="24"/>
          <w:lang w:val="en-GB"/>
        </w:rPr>
        <w:t xml:space="preserve"> </w:t>
      </w:r>
      <w:r w:rsidRPr="006555F7">
        <w:rPr>
          <w:sz w:val="24"/>
          <w:lang w:val="en-GB"/>
        </w:rPr>
        <w:t>Fund.</w:t>
      </w:r>
    </w:p>
    <w:p w14:paraId="1384CA8A" w14:textId="77777777" w:rsidR="00467438" w:rsidRPr="006555F7" w:rsidRDefault="00467438" w:rsidP="00740656">
      <w:pPr>
        <w:pStyle w:val="BodyText"/>
        <w:rPr>
          <w:sz w:val="26"/>
          <w:lang w:val="en-GB"/>
        </w:rPr>
      </w:pPr>
    </w:p>
    <w:p w14:paraId="685AD0B8" w14:textId="18EB3602" w:rsidR="00467438" w:rsidRPr="006555F7" w:rsidRDefault="00740656" w:rsidP="00740656">
      <w:pPr>
        <w:pStyle w:val="Heading3"/>
        <w:spacing w:before="0"/>
        <w:ind w:left="0"/>
        <w:rPr>
          <w:lang w:val="en-GB"/>
        </w:rPr>
      </w:pPr>
      <w:r w:rsidRPr="006555F7">
        <w:rPr>
          <w:lang w:val="en-GB"/>
        </w:rPr>
        <w:t>10</w:t>
      </w:r>
      <w:r w:rsidRPr="006555F7">
        <w:rPr>
          <w:lang w:val="en-GB"/>
        </w:rPr>
        <w:tab/>
      </w:r>
      <w:r w:rsidR="00C75D90" w:rsidRPr="006555F7">
        <w:rPr>
          <w:lang w:val="en-GB"/>
        </w:rPr>
        <w:t>Interest in respect of tax defaults</w:t>
      </w:r>
    </w:p>
    <w:p w14:paraId="7F0612B5" w14:textId="77777777" w:rsidR="00467438" w:rsidRPr="006555F7" w:rsidRDefault="00467438" w:rsidP="00740656">
      <w:pPr>
        <w:pStyle w:val="BodyText"/>
        <w:rPr>
          <w:rFonts w:ascii="Arial"/>
          <w:b/>
          <w:sz w:val="28"/>
          <w:lang w:val="en-GB"/>
        </w:rPr>
      </w:pPr>
    </w:p>
    <w:p w14:paraId="2708B13A" w14:textId="663819FF" w:rsidR="00467438" w:rsidRPr="006555F7" w:rsidRDefault="00740656" w:rsidP="00740656">
      <w:pPr>
        <w:pStyle w:val="ListParagraph"/>
        <w:tabs>
          <w:tab w:val="left" w:pos="593"/>
          <w:tab w:val="left" w:pos="720"/>
        </w:tabs>
        <w:ind w:left="1440" w:hanging="720"/>
        <w:rPr>
          <w:sz w:val="24"/>
          <w:lang w:val="en-GB"/>
        </w:rPr>
      </w:pPr>
      <w:r w:rsidRPr="006555F7">
        <w:rPr>
          <w:sz w:val="24"/>
          <w:lang w:val="en-GB"/>
        </w:rPr>
        <w:t>(1)</w:t>
      </w:r>
      <w:r w:rsidRPr="006555F7">
        <w:rPr>
          <w:sz w:val="24"/>
          <w:lang w:val="en-GB"/>
        </w:rPr>
        <w:tab/>
      </w:r>
      <w:r w:rsidR="00C75D90" w:rsidRPr="006555F7">
        <w:rPr>
          <w:sz w:val="24"/>
          <w:lang w:val="en-GB"/>
        </w:rPr>
        <w:t>If a tax default occurs, the service provider is liable to pay interest on the unpaid tax.</w:t>
      </w:r>
    </w:p>
    <w:p w14:paraId="1383C122" w14:textId="77777777" w:rsidR="00467438" w:rsidRPr="006555F7" w:rsidRDefault="00467438" w:rsidP="00740656">
      <w:pPr>
        <w:pStyle w:val="BodyText"/>
        <w:tabs>
          <w:tab w:val="left" w:pos="720"/>
        </w:tabs>
        <w:ind w:left="1440" w:hanging="720"/>
        <w:rPr>
          <w:sz w:val="23"/>
          <w:lang w:val="en-GB"/>
        </w:rPr>
      </w:pPr>
    </w:p>
    <w:p w14:paraId="4094FEA2" w14:textId="2F788C5A" w:rsidR="00467438" w:rsidRPr="006555F7" w:rsidRDefault="00740656" w:rsidP="00740656">
      <w:pPr>
        <w:pStyle w:val="ListParagraph"/>
        <w:tabs>
          <w:tab w:val="left" w:pos="720"/>
          <w:tab w:val="left" w:pos="874"/>
        </w:tabs>
        <w:ind w:left="1440" w:hanging="720"/>
        <w:rPr>
          <w:sz w:val="24"/>
          <w:lang w:val="en-GB"/>
        </w:rPr>
      </w:pPr>
      <w:r w:rsidRPr="006555F7">
        <w:rPr>
          <w:sz w:val="24"/>
          <w:lang w:val="en-GB"/>
        </w:rPr>
        <w:t>(2)</w:t>
      </w:r>
      <w:r w:rsidRPr="006555F7">
        <w:rPr>
          <w:sz w:val="24"/>
          <w:lang w:val="en-GB"/>
        </w:rPr>
        <w:tab/>
      </w:r>
      <w:r w:rsidR="00C75D90" w:rsidRPr="006555F7">
        <w:rPr>
          <w:sz w:val="24"/>
          <w:lang w:val="en-GB"/>
        </w:rPr>
        <w:t>Interest is calculated at a reasonable commercial rate on a daily basis from the date the tax default occurs to the date of</w:t>
      </w:r>
      <w:r w:rsidR="00C75D90" w:rsidRPr="006555F7">
        <w:rPr>
          <w:spacing w:val="-20"/>
          <w:sz w:val="24"/>
          <w:lang w:val="en-GB"/>
        </w:rPr>
        <w:t xml:space="preserve"> </w:t>
      </w:r>
      <w:r w:rsidR="00C75D90" w:rsidRPr="006555F7">
        <w:rPr>
          <w:sz w:val="24"/>
          <w:lang w:val="en-GB"/>
        </w:rPr>
        <w:t>payment.</w:t>
      </w:r>
    </w:p>
    <w:p w14:paraId="2EF9590E" w14:textId="77777777" w:rsidR="00467438" w:rsidRPr="006555F7" w:rsidRDefault="00467438" w:rsidP="00740656">
      <w:pPr>
        <w:pStyle w:val="BodyText"/>
        <w:rPr>
          <w:sz w:val="26"/>
          <w:lang w:val="en-GB"/>
        </w:rPr>
      </w:pPr>
    </w:p>
    <w:p w14:paraId="2EDA3D83" w14:textId="77777777" w:rsidR="00467438" w:rsidRPr="006555F7" w:rsidRDefault="00467438" w:rsidP="00740656">
      <w:pPr>
        <w:pStyle w:val="BodyText"/>
        <w:rPr>
          <w:sz w:val="26"/>
          <w:lang w:val="en-GB"/>
        </w:rPr>
      </w:pPr>
    </w:p>
    <w:p w14:paraId="057692C0" w14:textId="77777777" w:rsidR="00467438" w:rsidRPr="006555F7" w:rsidRDefault="00C75D90" w:rsidP="00740656">
      <w:pPr>
        <w:pStyle w:val="Heading2"/>
        <w:spacing w:before="0"/>
        <w:ind w:left="1782"/>
        <w:rPr>
          <w:lang w:val="en-GB"/>
        </w:rPr>
      </w:pPr>
      <w:bookmarkStart w:id="3" w:name="_TOC_250000"/>
      <w:bookmarkEnd w:id="3"/>
      <w:r w:rsidRPr="006555F7">
        <w:rPr>
          <w:lang w:val="en-GB"/>
        </w:rPr>
        <w:t>PART IV – OFFENCES AND PENALTIES</w:t>
      </w:r>
    </w:p>
    <w:p w14:paraId="30E88028" w14:textId="77777777" w:rsidR="00467438" w:rsidRPr="006555F7" w:rsidRDefault="00467438" w:rsidP="00740656">
      <w:pPr>
        <w:pStyle w:val="BodyText"/>
        <w:rPr>
          <w:rFonts w:ascii="Arial-BoldItalicMT"/>
          <w:b/>
          <w:i/>
          <w:sz w:val="30"/>
          <w:lang w:val="en-GB"/>
        </w:rPr>
      </w:pPr>
    </w:p>
    <w:p w14:paraId="62893F0B" w14:textId="6D20F94F" w:rsidR="00467438" w:rsidRPr="006555F7" w:rsidRDefault="00740656" w:rsidP="00740656">
      <w:pPr>
        <w:pStyle w:val="Heading3"/>
        <w:tabs>
          <w:tab w:val="left" w:pos="1440"/>
        </w:tabs>
        <w:spacing w:before="0"/>
        <w:ind w:left="0"/>
        <w:rPr>
          <w:lang w:val="en-GB"/>
        </w:rPr>
      </w:pPr>
      <w:r w:rsidRPr="006555F7">
        <w:rPr>
          <w:lang w:val="en-GB"/>
        </w:rPr>
        <w:t>11</w:t>
      </w:r>
      <w:r w:rsidRPr="006555F7">
        <w:rPr>
          <w:lang w:val="en-GB"/>
        </w:rPr>
        <w:tab/>
      </w:r>
      <w:r w:rsidR="00C75D90" w:rsidRPr="006555F7">
        <w:rPr>
          <w:lang w:val="en-GB"/>
        </w:rPr>
        <w:t>Tax Evasion</w:t>
      </w:r>
    </w:p>
    <w:p w14:paraId="464471E5" w14:textId="77777777" w:rsidR="00467438" w:rsidRPr="006555F7" w:rsidRDefault="00467438">
      <w:pPr>
        <w:pStyle w:val="BodyText"/>
        <w:spacing w:before="10"/>
        <w:rPr>
          <w:rFonts w:ascii="Arial"/>
          <w:b/>
          <w:sz w:val="28"/>
          <w:lang w:val="en-GB"/>
        </w:rPr>
      </w:pPr>
    </w:p>
    <w:p w14:paraId="4AD2436B" w14:textId="43AB3BF3" w:rsidR="00467438" w:rsidRPr="006555F7" w:rsidRDefault="00740656" w:rsidP="00183D6D">
      <w:pPr>
        <w:tabs>
          <w:tab w:val="left" w:pos="533"/>
          <w:tab w:val="left" w:pos="720"/>
        </w:tabs>
        <w:ind w:left="720"/>
        <w:rPr>
          <w:sz w:val="24"/>
          <w:lang w:val="en-GB"/>
        </w:rPr>
      </w:pPr>
      <w:r w:rsidRPr="006555F7">
        <w:rPr>
          <w:sz w:val="24"/>
          <w:lang w:val="en-GB"/>
        </w:rPr>
        <w:t>(1)</w:t>
      </w:r>
      <w:r w:rsidRPr="006555F7">
        <w:rPr>
          <w:sz w:val="24"/>
          <w:lang w:val="en-GB"/>
        </w:rPr>
        <w:tab/>
      </w:r>
      <w:r w:rsidR="00C75D90" w:rsidRPr="006555F7">
        <w:rPr>
          <w:sz w:val="24"/>
          <w:lang w:val="en-GB"/>
        </w:rPr>
        <w:t>A service provider must not knowingly evade the</w:t>
      </w:r>
      <w:r w:rsidR="00C75D90" w:rsidRPr="006555F7">
        <w:rPr>
          <w:spacing w:val="-20"/>
          <w:sz w:val="24"/>
          <w:lang w:val="en-GB"/>
        </w:rPr>
        <w:t xml:space="preserve"> </w:t>
      </w:r>
      <w:r w:rsidR="00C75D90" w:rsidRPr="006555F7">
        <w:rPr>
          <w:sz w:val="24"/>
          <w:lang w:val="en-GB"/>
        </w:rPr>
        <w:t>tax.</w:t>
      </w:r>
    </w:p>
    <w:p w14:paraId="7F7148EB" w14:textId="77777777" w:rsidR="00467438" w:rsidRPr="006555F7" w:rsidRDefault="00467438" w:rsidP="00183D6D">
      <w:pPr>
        <w:pStyle w:val="BodyText"/>
        <w:tabs>
          <w:tab w:val="left" w:pos="720"/>
        </w:tabs>
        <w:ind w:left="720"/>
        <w:rPr>
          <w:lang w:val="en-GB"/>
        </w:rPr>
      </w:pPr>
    </w:p>
    <w:p w14:paraId="38075289" w14:textId="1B27AA47" w:rsidR="00467438" w:rsidRPr="006555F7" w:rsidRDefault="00740656" w:rsidP="00183D6D">
      <w:pPr>
        <w:pStyle w:val="ListParagraph"/>
        <w:tabs>
          <w:tab w:val="left" w:pos="720"/>
          <w:tab w:val="left" w:pos="872"/>
        </w:tabs>
        <w:ind w:left="1440" w:hanging="720"/>
        <w:rPr>
          <w:sz w:val="24"/>
          <w:lang w:val="en-GB"/>
        </w:rPr>
      </w:pPr>
      <w:r w:rsidRPr="006555F7">
        <w:rPr>
          <w:sz w:val="24"/>
          <w:lang w:val="en-GB"/>
        </w:rPr>
        <w:t>(2)</w:t>
      </w:r>
      <w:r w:rsidRPr="006555F7">
        <w:rPr>
          <w:sz w:val="24"/>
          <w:lang w:val="en-GB"/>
        </w:rPr>
        <w:tab/>
      </w:r>
      <w:r w:rsidR="00C75D90" w:rsidRPr="006555F7">
        <w:rPr>
          <w:sz w:val="24"/>
          <w:lang w:val="en-GB"/>
        </w:rPr>
        <w:t>A service provid</w:t>
      </w:r>
      <w:r w:rsidR="00C75D90" w:rsidRPr="006555F7">
        <w:rPr>
          <w:sz w:val="24"/>
          <w:lang w:val="en-GB"/>
        </w:rPr>
        <w:t>er that commits an offence under this section is liable to a penalty of</w:t>
      </w:r>
      <w:r w:rsidR="00C75D90" w:rsidRPr="006555F7">
        <w:rPr>
          <w:spacing w:val="-8"/>
          <w:sz w:val="24"/>
          <w:lang w:val="en-GB"/>
        </w:rPr>
        <w:t xml:space="preserve"> </w:t>
      </w:r>
      <w:r w:rsidR="00C75D90" w:rsidRPr="006555F7">
        <w:rPr>
          <w:sz w:val="24"/>
          <w:lang w:val="en-GB"/>
        </w:rPr>
        <w:t>$100,000.</w:t>
      </w:r>
    </w:p>
    <w:p w14:paraId="0BF632A8" w14:textId="77777777" w:rsidR="00467438" w:rsidRPr="006555F7" w:rsidRDefault="00467438" w:rsidP="00183D6D">
      <w:pPr>
        <w:pStyle w:val="BodyText"/>
        <w:rPr>
          <w:sz w:val="26"/>
          <w:lang w:val="en-GB"/>
        </w:rPr>
      </w:pPr>
    </w:p>
    <w:p w14:paraId="7F02052F" w14:textId="570B7928" w:rsidR="00467438" w:rsidRPr="006555F7" w:rsidRDefault="00183D6D" w:rsidP="00183D6D">
      <w:pPr>
        <w:pStyle w:val="Heading3"/>
        <w:tabs>
          <w:tab w:val="left" w:pos="1440"/>
        </w:tabs>
        <w:spacing w:before="0"/>
        <w:ind w:left="0"/>
        <w:rPr>
          <w:lang w:val="en-GB"/>
        </w:rPr>
      </w:pPr>
      <w:r w:rsidRPr="006555F7">
        <w:rPr>
          <w:lang w:val="en-GB"/>
        </w:rPr>
        <w:t>12</w:t>
      </w:r>
      <w:r w:rsidRPr="006555F7">
        <w:rPr>
          <w:lang w:val="en-GB"/>
        </w:rPr>
        <w:tab/>
      </w:r>
      <w:r w:rsidR="00C75D90" w:rsidRPr="006555F7">
        <w:rPr>
          <w:lang w:val="en-GB"/>
        </w:rPr>
        <w:t>Falsifying or concealing records</w:t>
      </w:r>
    </w:p>
    <w:p w14:paraId="0B8DD816" w14:textId="77777777" w:rsidR="00467438" w:rsidRPr="006555F7" w:rsidRDefault="00467438" w:rsidP="00183D6D">
      <w:pPr>
        <w:pStyle w:val="BodyText"/>
        <w:rPr>
          <w:rFonts w:ascii="Arial"/>
          <w:b/>
          <w:sz w:val="28"/>
          <w:lang w:val="en-GB"/>
        </w:rPr>
      </w:pPr>
    </w:p>
    <w:p w14:paraId="5BA768C8" w14:textId="0CCFF1F2" w:rsidR="00467438" w:rsidRPr="006555F7" w:rsidRDefault="00183D6D" w:rsidP="00183D6D">
      <w:pPr>
        <w:pStyle w:val="ListParagraph"/>
        <w:tabs>
          <w:tab w:val="left" w:pos="533"/>
          <w:tab w:val="left" w:pos="720"/>
        </w:tabs>
        <w:ind w:left="1440" w:hanging="720"/>
        <w:rPr>
          <w:sz w:val="24"/>
          <w:lang w:val="en-GB"/>
        </w:rPr>
      </w:pPr>
      <w:r w:rsidRPr="006555F7">
        <w:rPr>
          <w:sz w:val="24"/>
          <w:lang w:val="en-GB"/>
        </w:rPr>
        <w:t>(1)</w:t>
      </w:r>
      <w:r w:rsidRPr="006555F7">
        <w:rPr>
          <w:sz w:val="24"/>
          <w:lang w:val="en-GB"/>
        </w:rPr>
        <w:tab/>
      </w:r>
      <w:r w:rsidR="00C75D90" w:rsidRPr="006555F7">
        <w:rPr>
          <w:sz w:val="24"/>
          <w:lang w:val="en-GB"/>
        </w:rPr>
        <w:t>A service provider must not falsify or conceal</w:t>
      </w:r>
      <w:r w:rsidR="00C75D90" w:rsidRPr="006555F7">
        <w:rPr>
          <w:spacing w:val="-23"/>
          <w:sz w:val="24"/>
          <w:lang w:val="en-GB"/>
        </w:rPr>
        <w:t xml:space="preserve"> </w:t>
      </w:r>
      <w:r w:rsidR="00C75D90" w:rsidRPr="006555F7">
        <w:rPr>
          <w:sz w:val="24"/>
          <w:lang w:val="en-GB"/>
        </w:rPr>
        <w:t>records.</w:t>
      </w:r>
    </w:p>
    <w:p w14:paraId="406BA19D" w14:textId="77777777" w:rsidR="00467438" w:rsidRPr="006555F7" w:rsidRDefault="00467438" w:rsidP="00183D6D">
      <w:pPr>
        <w:pStyle w:val="BodyText"/>
        <w:tabs>
          <w:tab w:val="left" w:pos="720"/>
        </w:tabs>
        <w:ind w:left="1440" w:hanging="720"/>
        <w:rPr>
          <w:sz w:val="23"/>
          <w:lang w:val="en-GB"/>
        </w:rPr>
      </w:pPr>
    </w:p>
    <w:p w14:paraId="7066756F" w14:textId="263365CF" w:rsidR="00467438" w:rsidRPr="006555F7" w:rsidRDefault="00183D6D" w:rsidP="00183D6D">
      <w:pPr>
        <w:pStyle w:val="ListParagraph"/>
        <w:tabs>
          <w:tab w:val="left" w:pos="720"/>
          <w:tab w:val="left" w:pos="872"/>
        </w:tabs>
        <w:ind w:left="1440" w:hanging="720"/>
        <w:rPr>
          <w:sz w:val="24"/>
          <w:lang w:val="en-GB"/>
        </w:rPr>
      </w:pPr>
      <w:r w:rsidRPr="006555F7">
        <w:rPr>
          <w:sz w:val="24"/>
          <w:lang w:val="en-GB"/>
        </w:rPr>
        <w:t>(2)</w:t>
      </w:r>
      <w:r w:rsidRPr="006555F7">
        <w:rPr>
          <w:sz w:val="24"/>
          <w:lang w:val="en-GB"/>
        </w:rPr>
        <w:tab/>
      </w:r>
      <w:r w:rsidR="00C75D90" w:rsidRPr="006555F7">
        <w:rPr>
          <w:sz w:val="24"/>
          <w:lang w:val="en-GB"/>
        </w:rPr>
        <w:t>A service provider that commits an offence under this section is liable to a p</w:t>
      </w:r>
      <w:r w:rsidR="00C75D90" w:rsidRPr="006555F7">
        <w:rPr>
          <w:sz w:val="24"/>
          <w:lang w:val="en-GB"/>
        </w:rPr>
        <w:t>enalty of</w:t>
      </w:r>
      <w:r w:rsidR="00C75D90" w:rsidRPr="006555F7">
        <w:rPr>
          <w:spacing w:val="-7"/>
          <w:sz w:val="24"/>
          <w:lang w:val="en-GB"/>
        </w:rPr>
        <w:t xml:space="preserve"> </w:t>
      </w:r>
      <w:r w:rsidR="00C75D90" w:rsidRPr="006555F7">
        <w:rPr>
          <w:sz w:val="24"/>
          <w:lang w:val="en-GB"/>
        </w:rPr>
        <w:t>$50,000.</w:t>
      </w:r>
    </w:p>
    <w:p w14:paraId="25B414B1" w14:textId="77777777" w:rsidR="00467438" w:rsidRPr="006555F7" w:rsidRDefault="00467438" w:rsidP="00183D6D">
      <w:pPr>
        <w:pStyle w:val="BodyText"/>
        <w:rPr>
          <w:sz w:val="21"/>
          <w:lang w:val="en-GB"/>
        </w:rPr>
      </w:pPr>
    </w:p>
    <w:p w14:paraId="088A9D66" w14:textId="1B874F32" w:rsidR="00467438" w:rsidRPr="006555F7" w:rsidRDefault="00183D6D" w:rsidP="00183D6D">
      <w:pPr>
        <w:pStyle w:val="Heading3"/>
        <w:tabs>
          <w:tab w:val="left" w:pos="1440"/>
        </w:tabs>
        <w:spacing w:before="0"/>
        <w:ind w:left="0"/>
        <w:rPr>
          <w:lang w:val="en-GB"/>
        </w:rPr>
      </w:pPr>
      <w:r w:rsidRPr="006555F7">
        <w:rPr>
          <w:lang w:val="en-GB"/>
        </w:rPr>
        <w:t>13</w:t>
      </w:r>
      <w:r w:rsidRPr="006555F7">
        <w:rPr>
          <w:lang w:val="en-GB"/>
        </w:rPr>
        <w:tab/>
      </w:r>
      <w:r w:rsidR="00C75D90" w:rsidRPr="006555F7">
        <w:rPr>
          <w:lang w:val="en-GB"/>
        </w:rPr>
        <w:t>Failure to pay tax</w:t>
      </w:r>
    </w:p>
    <w:p w14:paraId="48C51664" w14:textId="77777777" w:rsidR="00467438" w:rsidRPr="006555F7" w:rsidRDefault="00467438" w:rsidP="00183D6D">
      <w:pPr>
        <w:pStyle w:val="BodyText"/>
        <w:rPr>
          <w:rFonts w:ascii="Arial"/>
          <w:b/>
          <w:sz w:val="28"/>
          <w:lang w:val="en-GB"/>
        </w:rPr>
      </w:pPr>
    </w:p>
    <w:p w14:paraId="4BF8C6FB" w14:textId="2C2DFA49" w:rsidR="00467438" w:rsidRPr="006555F7" w:rsidRDefault="00C75D90" w:rsidP="00183D6D">
      <w:pPr>
        <w:pStyle w:val="ListParagraph"/>
        <w:tabs>
          <w:tab w:val="left" w:pos="1440"/>
        </w:tabs>
        <w:ind w:left="720" w:firstLine="0"/>
        <w:rPr>
          <w:sz w:val="24"/>
          <w:lang w:val="en-GB"/>
        </w:rPr>
      </w:pPr>
      <w:r w:rsidRPr="006555F7">
        <w:rPr>
          <w:sz w:val="24"/>
          <w:lang w:val="en-GB"/>
        </w:rPr>
        <w:t>A service provider that fails, without lawful excuse, to pay the tax in accordance with subsectio</w:t>
      </w:r>
      <w:r w:rsidR="0097251D" w:rsidRPr="006555F7">
        <w:rPr>
          <w:sz w:val="24"/>
          <w:lang w:val="en-GB"/>
        </w:rPr>
        <w:t>ns (1), (2) and (3) of section 4</w:t>
      </w:r>
      <w:r w:rsidRPr="006555F7">
        <w:rPr>
          <w:sz w:val="24"/>
          <w:lang w:val="en-GB"/>
        </w:rPr>
        <w:t xml:space="preserve"> commits and offence and is liable to a penalty of</w:t>
      </w:r>
      <w:r w:rsidRPr="006555F7">
        <w:rPr>
          <w:spacing w:val="-7"/>
          <w:sz w:val="24"/>
          <w:lang w:val="en-GB"/>
        </w:rPr>
        <w:t xml:space="preserve"> </w:t>
      </w:r>
      <w:r w:rsidRPr="006555F7">
        <w:rPr>
          <w:sz w:val="24"/>
          <w:lang w:val="en-GB"/>
        </w:rPr>
        <w:t>$50,000.</w:t>
      </w:r>
    </w:p>
    <w:p w14:paraId="21F65E0E" w14:textId="77777777" w:rsidR="00467438" w:rsidRPr="006555F7" w:rsidRDefault="00467438" w:rsidP="00183D6D">
      <w:pPr>
        <w:pStyle w:val="BodyText"/>
        <w:rPr>
          <w:sz w:val="26"/>
          <w:lang w:val="en-GB"/>
        </w:rPr>
      </w:pPr>
    </w:p>
    <w:p w14:paraId="682C9D67" w14:textId="046966D4" w:rsidR="0097251D" w:rsidRPr="006555F7" w:rsidRDefault="0097251D" w:rsidP="0097251D">
      <w:pPr>
        <w:pStyle w:val="BodyText"/>
        <w:rPr>
          <w:sz w:val="23"/>
          <w:lang w:val="en-GB"/>
        </w:rPr>
      </w:pPr>
      <w:r w:rsidRPr="006555F7">
        <w:rPr>
          <w:i/>
          <w:lang w:val="en-GB"/>
        </w:rPr>
        <w:t>Hist</w:t>
      </w:r>
      <w:r w:rsidRPr="006555F7">
        <w:rPr>
          <w:i/>
          <w:lang w:val="en-GB"/>
        </w:rPr>
        <w:t>ory: Section</w:t>
      </w:r>
      <w:r w:rsidR="00604FEA" w:rsidRPr="006555F7">
        <w:rPr>
          <w:i/>
          <w:lang w:val="en-GB"/>
        </w:rPr>
        <w:t xml:space="preserve"> 13</w:t>
      </w:r>
      <w:r w:rsidRPr="006555F7">
        <w:rPr>
          <w:i/>
          <w:lang w:val="en-GB"/>
        </w:rPr>
        <w:t xml:space="preserve"> </w:t>
      </w:r>
      <w:r w:rsidRPr="006555F7">
        <w:rPr>
          <w:i/>
          <w:lang w:val="en-GB"/>
        </w:rPr>
        <w:t>amended by the Telecommunications Service Tax (Amendment) Act 2016 (Act No. 47 of 2016</w:t>
      </w:r>
      <w:r w:rsidR="00F477BB" w:rsidRPr="006555F7">
        <w:rPr>
          <w:i/>
          <w:lang w:val="en-GB"/>
        </w:rPr>
        <w:t>)</w:t>
      </w:r>
      <w:r w:rsidRPr="006555F7">
        <w:rPr>
          <w:i/>
          <w:lang w:val="en-GB"/>
        </w:rPr>
        <w:t xml:space="preserve"> by deleting “</w:t>
      </w:r>
      <w:r w:rsidRPr="006555F7">
        <w:rPr>
          <w:i/>
          <w:lang w:val="en-GB"/>
        </w:rPr>
        <w:t>section 3</w:t>
      </w:r>
      <w:r w:rsidRPr="006555F7">
        <w:rPr>
          <w:i/>
          <w:lang w:val="en-GB"/>
        </w:rPr>
        <w:t>” and substituting “</w:t>
      </w:r>
      <w:r w:rsidRPr="006555F7">
        <w:rPr>
          <w:i/>
          <w:lang w:val="en-GB"/>
        </w:rPr>
        <w:t>section 4</w:t>
      </w:r>
      <w:r w:rsidRPr="006555F7">
        <w:rPr>
          <w:i/>
          <w:lang w:val="en-GB"/>
        </w:rPr>
        <w:t xml:space="preserve">”. </w:t>
      </w:r>
    </w:p>
    <w:p w14:paraId="129F5542" w14:textId="77777777" w:rsidR="0097251D" w:rsidRPr="006555F7" w:rsidRDefault="0097251D" w:rsidP="0097251D">
      <w:pPr>
        <w:pStyle w:val="BodyText"/>
        <w:rPr>
          <w:i/>
          <w:lang w:val="en-GB"/>
        </w:rPr>
      </w:pPr>
      <w:r w:rsidRPr="006555F7">
        <w:rPr>
          <w:i/>
          <w:lang w:val="en-GB"/>
        </w:rPr>
        <w:t xml:space="preserve"> </w:t>
      </w:r>
    </w:p>
    <w:p w14:paraId="4432B3E8" w14:textId="7CB08FCB" w:rsidR="0097251D" w:rsidRPr="006555F7" w:rsidRDefault="0097251D" w:rsidP="00183D6D">
      <w:pPr>
        <w:pStyle w:val="BodyText"/>
        <w:rPr>
          <w:i/>
          <w:lang w:val="en-GB"/>
        </w:rPr>
      </w:pPr>
      <w:r w:rsidRPr="006555F7">
        <w:rPr>
          <w:i/>
          <w:lang w:val="en-GB"/>
        </w:rPr>
        <w:t>The Telecommunications Service Tax (Amendment) Act 2016 (Act No. 47 of 2016) came into force on 8 September 2016.</w:t>
      </w:r>
    </w:p>
    <w:p w14:paraId="7AE77D2F" w14:textId="77777777" w:rsidR="0097251D" w:rsidRPr="006555F7" w:rsidRDefault="0097251D" w:rsidP="00183D6D">
      <w:pPr>
        <w:pStyle w:val="BodyText"/>
        <w:rPr>
          <w:sz w:val="26"/>
          <w:lang w:val="en-GB"/>
        </w:rPr>
      </w:pPr>
    </w:p>
    <w:p w14:paraId="038314E2" w14:textId="2ECA0533" w:rsidR="00467438" w:rsidRPr="006555F7" w:rsidRDefault="00183D6D" w:rsidP="00183D6D">
      <w:pPr>
        <w:pStyle w:val="Heading3"/>
        <w:tabs>
          <w:tab w:val="left" w:pos="1440"/>
        </w:tabs>
        <w:spacing w:before="0"/>
        <w:ind w:left="0"/>
        <w:rPr>
          <w:lang w:val="en-GB"/>
        </w:rPr>
      </w:pPr>
      <w:r w:rsidRPr="006555F7">
        <w:rPr>
          <w:lang w:val="en-GB"/>
        </w:rPr>
        <w:t>14</w:t>
      </w:r>
      <w:r w:rsidRPr="006555F7">
        <w:rPr>
          <w:lang w:val="en-GB"/>
        </w:rPr>
        <w:tab/>
      </w:r>
      <w:r w:rsidR="00C75D90" w:rsidRPr="006555F7">
        <w:rPr>
          <w:lang w:val="en-GB"/>
        </w:rPr>
        <w:t>Failure to keep records</w:t>
      </w:r>
    </w:p>
    <w:p w14:paraId="56C4D4C1" w14:textId="77777777" w:rsidR="00467438" w:rsidRPr="006555F7" w:rsidRDefault="00467438" w:rsidP="00183D6D">
      <w:pPr>
        <w:pStyle w:val="BodyText"/>
        <w:rPr>
          <w:rFonts w:ascii="Arial"/>
          <w:b/>
          <w:sz w:val="28"/>
          <w:lang w:val="en-GB"/>
        </w:rPr>
      </w:pPr>
    </w:p>
    <w:p w14:paraId="5822C1DC" w14:textId="77777777" w:rsidR="00467438" w:rsidRPr="006555F7" w:rsidRDefault="00C75D90" w:rsidP="00183D6D">
      <w:pPr>
        <w:pStyle w:val="ListParagraph"/>
        <w:tabs>
          <w:tab w:val="left" w:pos="720"/>
        </w:tabs>
        <w:ind w:left="720" w:firstLine="0"/>
        <w:rPr>
          <w:sz w:val="24"/>
          <w:lang w:val="en-GB"/>
        </w:rPr>
      </w:pPr>
      <w:r w:rsidRPr="006555F7">
        <w:rPr>
          <w:sz w:val="24"/>
          <w:lang w:val="en-GB"/>
        </w:rPr>
        <w:t>A service provider that fails to keep records in accordance with the requirements of section 6 commits an offence and is liable to a penalty of</w:t>
      </w:r>
      <w:r w:rsidRPr="006555F7">
        <w:rPr>
          <w:spacing w:val="-26"/>
          <w:sz w:val="24"/>
          <w:lang w:val="en-GB"/>
        </w:rPr>
        <w:t xml:space="preserve"> </w:t>
      </w:r>
      <w:r w:rsidRPr="006555F7">
        <w:rPr>
          <w:sz w:val="24"/>
          <w:lang w:val="en-GB"/>
        </w:rPr>
        <w:t>$10,000.</w:t>
      </w:r>
    </w:p>
    <w:p w14:paraId="4873F548" w14:textId="77777777" w:rsidR="00467438" w:rsidRPr="006555F7" w:rsidRDefault="00467438">
      <w:pPr>
        <w:pStyle w:val="BodyText"/>
        <w:rPr>
          <w:sz w:val="26"/>
          <w:lang w:val="en-GB"/>
        </w:rPr>
      </w:pPr>
    </w:p>
    <w:p w14:paraId="23959543" w14:textId="4EB9E810" w:rsidR="00467438" w:rsidRPr="006555F7" w:rsidRDefault="00183D6D" w:rsidP="0097251D">
      <w:pPr>
        <w:pStyle w:val="Heading3"/>
        <w:tabs>
          <w:tab w:val="left" w:pos="1440"/>
        </w:tabs>
        <w:spacing w:before="0"/>
        <w:ind w:left="0"/>
        <w:rPr>
          <w:lang w:val="en-GB"/>
        </w:rPr>
      </w:pPr>
      <w:r w:rsidRPr="006555F7">
        <w:rPr>
          <w:lang w:val="en-GB"/>
        </w:rPr>
        <w:t>15</w:t>
      </w:r>
      <w:r w:rsidRPr="006555F7">
        <w:rPr>
          <w:lang w:val="en-GB"/>
        </w:rPr>
        <w:tab/>
      </w:r>
      <w:r w:rsidR="00C75D90" w:rsidRPr="006555F7">
        <w:rPr>
          <w:lang w:val="en-GB"/>
        </w:rPr>
        <w:t>Failure to submit monthly statement</w:t>
      </w:r>
    </w:p>
    <w:p w14:paraId="3C8BF778" w14:textId="77777777" w:rsidR="00467438" w:rsidRPr="006555F7" w:rsidRDefault="00467438">
      <w:pPr>
        <w:pStyle w:val="BodyText"/>
        <w:spacing w:before="10"/>
        <w:rPr>
          <w:rFonts w:ascii="Arial"/>
          <w:b/>
          <w:sz w:val="28"/>
          <w:lang w:val="en-GB"/>
        </w:rPr>
      </w:pPr>
    </w:p>
    <w:p w14:paraId="2E93E200" w14:textId="251E50D8" w:rsidR="00467438" w:rsidRPr="006555F7" w:rsidRDefault="00C75D90" w:rsidP="007C28B0">
      <w:pPr>
        <w:pStyle w:val="ListParagraph"/>
        <w:tabs>
          <w:tab w:val="left" w:pos="720"/>
        </w:tabs>
        <w:ind w:left="720" w:firstLine="0"/>
        <w:rPr>
          <w:sz w:val="24"/>
          <w:lang w:val="en-GB"/>
        </w:rPr>
      </w:pPr>
      <w:r w:rsidRPr="006555F7">
        <w:rPr>
          <w:sz w:val="24"/>
          <w:lang w:val="en-GB"/>
        </w:rPr>
        <w:t xml:space="preserve">A service provider that fails to submit the monthly statement required under subsection (4) of section </w:t>
      </w:r>
      <w:r w:rsidR="007C28B0" w:rsidRPr="006555F7">
        <w:rPr>
          <w:sz w:val="24"/>
          <w:lang w:val="en-GB"/>
        </w:rPr>
        <w:t>4</w:t>
      </w:r>
      <w:r w:rsidRPr="006555F7">
        <w:rPr>
          <w:sz w:val="24"/>
          <w:lang w:val="en-GB"/>
        </w:rPr>
        <w:t xml:space="preserve"> commits an offence and is liable to a penalty of</w:t>
      </w:r>
      <w:r w:rsidRPr="006555F7">
        <w:rPr>
          <w:spacing w:val="-31"/>
          <w:sz w:val="24"/>
          <w:lang w:val="en-GB"/>
        </w:rPr>
        <w:t xml:space="preserve"> </w:t>
      </w:r>
      <w:r w:rsidRPr="006555F7">
        <w:rPr>
          <w:sz w:val="24"/>
          <w:lang w:val="en-GB"/>
        </w:rPr>
        <w:t>$10,000.</w:t>
      </w:r>
    </w:p>
    <w:p w14:paraId="7968B475" w14:textId="77777777" w:rsidR="007C28B0" w:rsidRPr="006555F7" w:rsidRDefault="007C28B0" w:rsidP="007C28B0">
      <w:pPr>
        <w:pStyle w:val="ListParagraph"/>
        <w:tabs>
          <w:tab w:val="left" w:pos="720"/>
        </w:tabs>
        <w:ind w:left="720" w:firstLine="0"/>
        <w:rPr>
          <w:sz w:val="24"/>
          <w:lang w:val="en-GB"/>
        </w:rPr>
      </w:pPr>
    </w:p>
    <w:p w14:paraId="6641F0EA" w14:textId="607F5E0A" w:rsidR="00604FEA" w:rsidRPr="006555F7" w:rsidRDefault="00604FEA" w:rsidP="00604FEA">
      <w:pPr>
        <w:pStyle w:val="ListParagraph"/>
        <w:tabs>
          <w:tab w:val="left" w:pos="1440"/>
        </w:tabs>
        <w:ind w:left="0" w:firstLine="0"/>
        <w:rPr>
          <w:b/>
          <w:bCs/>
          <w:sz w:val="24"/>
          <w:lang w:val="en-GB"/>
        </w:rPr>
      </w:pPr>
      <w:r w:rsidRPr="006555F7">
        <w:rPr>
          <w:b/>
          <w:bCs/>
          <w:sz w:val="24"/>
          <w:lang w:val="en-GB"/>
        </w:rPr>
        <w:t>16</w:t>
      </w:r>
      <w:r w:rsidRPr="006555F7">
        <w:rPr>
          <w:b/>
          <w:bCs/>
          <w:sz w:val="24"/>
          <w:lang w:val="en-GB"/>
        </w:rPr>
        <w:tab/>
        <w:t>Application of Revenue Administration Act 2014 </w:t>
      </w:r>
    </w:p>
    <w:p w14:paraId="5CB9A873" w14:textId="77777777" w:rsidR="00604FEA" w:rsidRPr="006555F7" w:rsidRDefault="00604FEA" w:rsidP="00604FEA">
      <w:pPr>
        <w:pStyle w:val="ListParagraph"/>
        <w:tabs>
          <w:tab w:val="left" w:pos="1440"/>
        </w:tabs>
        <w:ind w:left="0" w:firstLine="0"/>
        <w:rPr>
          <w:sz w:val="24"/>
          <w:lang w:val="en-GB"/>
        </w:rPr>
      </w:pPr>
    </w:p>
    <w:p w14:paraId="0AC43D64" w14:textId="77777777" w:rsidR="00604FEA" w:rsidRPr="006555F7" w:rsidRDefault="00604FEA" w:rsidP="00604FEA">
      <w:pPr>
        <w:pStyle w:val="ListParagraph"/>
        <w:tabs>
          <w:tab w:val="left" w:pos="720"/>
        </w:tabs>
        <w:ind w:left="720" w:firstLine="0"/>
        <w:rPr>
          <w:sz w:val="24"/>
          <w:lang w:val="en-GB"/>
        </w:rPr>
      </w:pPr>
      <w:r w:rsidRPr="006555F7">
        <w:rPr>
          <w:sz w:val="24"/>
          <w:lang w:val="en-GB"/>
        </w:rPr>
        <w:t>The Revenue Administration Act 2014 is subject to this Act and applicable only for the purposes of the administration of this Act. </w:t>
      </w:r>
    </w:p>
    <w:p w14:paraId="40DFDC86" w14:textId="77777777" w:rsidR="007C28B0" w:rsidRPr="006555F7" w:rsidRDefault="007C28B0" w:rsidP="007C28B0">
      <w:pPr>
        <w:pStyle w:val="ListParagraph"/>
        <w:tabs>
          <w:tab w:val="left" w:pos="720"/>
        </w:tabs>
        <w:ind w:left="0" w:firstLine="0"/>
        <w:rPr>
          <w:sz w:val="24"/>
          <w:lang w:val="en-GB"/>
        </w:rPr>
      </w:pPr>
    </w:p>
    <w:p w14:paraId="38FBCCAD" w14:textId="05577877" w:rsidR="00604FEA" w:rsidRPr="006555F7" w:rsidRDefault="00604FEA" w:rsidP="00604FEA">
      <w:pPr>
        <w:pStyle w:val="BodyText"/>
        <w:rPr>
          <w:i/>
          <w:lang w:val="en-GB"/>
        </w:rPr>
      </w:pPr>
      <w:r w:rsidRPr="006555F7">
        <w:rPr>
          <w:i/>
          <w:lang w:val="en-GB"/>
        </w:rPr>
        <w:t xml:space="preserve">History: Section </w:t>
      </w:r>
      <w:r w:rsidRPr="006555F7">
        <w:rPr>
          <w:i/>
          <w:lang w:val="en-GB"/>
        </w:rPr>
        <w:t>16</w:t>
      </w:r>
      <w:r w:rsidRPr="006555F7">
        <w:rPr>
          <w:i/>
          <w:lang w:val="en-GB"/>
        </w:rPr>
        <w:t xml:space="preserve"> </w:t>
      </w:r>
      <w:r w:rsidRPr="006555F7">
        <w:rPr>
          <w:i/>
          <w:lang w:val="en-GB"/>
        </w:rPr>
        <w:t>inserted</w:t>
      </w:r>
      <w:r w:rsidRPr="006555F7">
        <w:rPr>
          <w:i/>
          <w:lang w:val="en-GB"/>
        </w:rPr>
        <w:t xml:space="preserve"> by the Telecommunications Service Tax (Amendment) No. 2 Act 2016 (Act No. 52 of 2016). </w:t>
      </w:r>
    </w:p>
    <w:p w14:paraId="2EE7C9F6" w14:textId="77777777" w:rsidR="00604FEA" w:rsidRPr="006555F7" w:rsidRDefault="00604FEA" w:rsidP="00604FEA">
      <w:pPr>
        <w:pStyle w:val="BodyText"/>
        <w:ind w:left="1440" w:right="720" w:hanging="720"/>
        <w:rPr>
          <w:i/>
          <w:lang w:val="en-GB"/>
        </w:rPr>
      </w:pPr>
    </w:p>
    <w:p w14:paraId="0D3BB64A" w14:textId="77777777" w:rsidR="00604FEA" w:rsidRPr="006555F7" w:rsidRDefault="00604FEA" w:rsidP="00604FEA">
      <w:pPr>
        <w:pStyle w:val="BodyText"/>
        <w:rPr>
          <w:i/>
          <w:lang w:val="en-GB"/>
        </w:rPr>
      </w:pPr>
      <w:r w:rsidRPr="006555F7">
        <w:rPr>
          <w:i/>
          <w:lang w:val="en-GB"/>
        </w:rPr>
        <w:t>The Telecommunications Service Tax (Amendment) No. 2 Act 2016 (Act No. 52 of 2016) came into force on 4 November 2016.</w:t>
      </w:r>
    </w:p>
    <w:p w14:paraId="16397AA3" w14:textId="77777777" w:rsidR="00604FEA" w:rsidRPr="006555F7" w:rsidRDefault="00604FEA" w:rsidP="007C28B0">
      <w:pPr>
        <w:pStyle w:val="ListParagraph"/>
        <w:tabs>
          <w:tab w:val="left" w:pos="720"/>
        </w:tabs>
        <w:ind w:left="0" w:firstLine="0"/>
        <w:rPr>
          <w:sz w:val="24"/>
          <w:lang w:val="en-GB"/>
        </w:rPr>
      </w:pPr>
    </w:p>
    <w:p w14:paraId="350848BA" w14:textId="77777777" w:rsidR="007C28B0" w:rsidRPr="006555F7" w:rsidRDefault="007C28B0" w:rsidP="007C28B0">
      <w:pPr>
        <w:pStyle w:val="ListParagraph"/>
        <w:tabs>
          <w:tab w:val="left" w:pos="720"/>
        </w:tabs>
        <w:ind w:left="720" w:firstLine="0"/>
        <w:rPr>
          <w:sz w:val="24"/>
          <w:lang w:val="en-GB"/>
        </w:rPr>
      </w:pPr>
    </w:p>
    <w:p w14:paraId="19DAC949" w14:textId="77777777" w:rsidR="007C28B0" w:rsidRPr="006555F7" w:rsidRDefault="007C28B0" w:rsidP="007C28B0">
      <w:pPr>
        <w:pStyle w:val="ListParagraph"/>
        <w:tabs>
          <w:tab w:val="left" w:pos="720"/>
        </w:tabs>
        <w:ind w:left="720" w:firstLine="0"/>
        <w:rPr>
          <w:sz w:val="24"/>
          <w:lang w:val="en-GB"/>
        </w:rPr>
        <w:sectPr w:rsidR="007C28B0" w:rsidRPr="006555F7">
          <w:headerReference w:type="default" r:id="rId8"/>
          <w:footerReference w:type="default" r:id="rId9"/>
          <w:pgSz w:w="12240" w:h="15840"/>
          <w:pgMar w:top="920" w:right="1700" w:bottom="980" w:left="1700" w:header="708" w:footer="781" w:gutter="0"/>
          <w:cols w:space="720"/>
        </w:sectPr>
      </w:pPr>
    </w:p>
    <w:p w14:paraId="4B4FA8D5" w14:textId="4D82767E" w:rsidR="00467438" w:rsidRPr="006555F7" w:rsidRDefault="00467438" w:rsidP="007C28B0">
      <w:pPr>
        <w:pStyle w:val="BodyText"/>
        <w:ind w:right="1959"/>
        <w:rPr>
          <w:lang w:val="en-GB"/>
        </w:rPr>
      </w:pPr>
    </w:p>
    <w:sectPr w:rsidR="00467438" w:rsidRPr="006555F7">
      <w:headerReference w:type="default" r:id="rId10"/>
      <w:footerReference w:type="default" r:id="rId11"/>
      <w:type w:val="continuous"/>
      <w:pgSz w:w="12240" w:h="15840"/>
      <w:pgMar w:top="1500" w:right="1720" w:bottom="280" w:left="1700" w:header="720" w:footer="720" w:gutter="0"/>
      <w:cols w:num="2" w:space="720" w:equalWidth="0">
        <w:col w:w="3785" w:space="823"/>
        <w:col w:w="4212"/>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E53B" w14:textId="77777777" w:rsidR="00C75D90" w:rsidRDefault="00C75D90">
      <w:r>
        <w:separator/>
      </w:r>
    </w:p>
  </w:endnote>
  <w:endnote w:type="continuationSeparator" w:id="0">
    <w:p w14:paraId="148D0486" w14:textId="77777777" w:rsidR="00C75D90" w:rsidRDefault="00C7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A0D221" w14:textId="77777777" w:rsidR="00467438" w:rsidRDefault="00C75D90">
    <w:pPr>
      <w:pStyle w:val="BodyText"/>
      <w:spacing w:line="14" w:lineRule="auto"/>
      <w:rPr>
        <w:sz w:val="20"/>
      </w:rPr>
    </w:pPr>
    <w:r>
      <w:pict w14:anchorId="08636A59">
        <v:shapetype id="_x0000_t202" coordsize="21600,21600" o:spt="202" path="m0,0l0,21600,21600,21600,21600,0xe">
          <v:stroke joinstyle="miter"/>
          <v:path gradientshapeok="t" o:connecttype="rect"/>
        </v:shapetype>
        <v:shape id="_x0000_s2049" type="#_x0000_t202" style="position:absolute;margin-left:513.95pt;margin-top:741.95pt;width:10pt;height:15.3pt;z-index:-7288;mso-position-horizontal-relative:page;mso-position-vertical-relative:page" filled="f" stroked="f">
          <v:textbox style="mso-next-textbox:#_x0000_s2049" inset="0,0,0,0">
            <w:txbxContent>
              <w:p w14:paraId="4DEA8BC7" w14:textId="77777777" w:rsidR="00467438" w:rsidRDefault="00C75D90">
                <w:pPr>
                  <w:pStyle w:val="BodyText"/>
                  <w:spacing w:before="9"/>
                  <w:ind w:left="40"/>
                </w:pPr>
                <w:r>
                  <w:fldChar w:fldCharType="begin"/>
                </w:r>
                <w:r>
                  <w:rPr>
                    <w:w w:val="99"/>
                  </w:rPr>
                  <w:instrText xml:space="preserve"> PAGE </w:instrText>
                </w:r>
                <w:r>
                  <w:fldChar w:fldCharType="separate"/>
                </w:r>
                <w:r w:rsidR="006555F7">
                  <w:rPr>
                    <w:noProof/>
                    <w:w w:val="99"/>
                  </w:rPr>
                  <w:t>3</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9CC45F" w14:textId="77777777" w:rsidR="00467438" w:rsidRDefault="00467438">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27EF" w14:textId="77777777" w:rsidR="00C75D90" w:rsidRDefault="00C75D90">
      <w:r>
        <w:separator/>
      </w:r>
    </w:p>
  </w:footnote>
  <w:footnote w:type="continuationSeparator" w:id="0">
    <w:p w14:paraId="26B10CC3" w14:textId="77777777" w:rsidR="00C75D90" w:rsidRDefault="00C75D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92D9B3" w14:textId="77777777" w:rsidR="0097251D" w:rsidRDefault="0097251D">
    <w:pPr>
      <w:pStyle w:val="BodyText"/>
      <w:spacing w:line="14" w:lineRule="auto"/>
      <w:rPr>
        <w:sz w:val="20"/>
      </w:rPr>
    </w:pPr>
  </w:p>
  <w:p w14:paraId="4DB69AF8" w14:textId="77777777" w:rsidR="0097251D" w:rsidRDefault="0097251D">
    <w:pPr>
      <w:pStyle w:val="BodyText"/>
      <w:spacing w:line="14" w:lineRule="auto"/>
      <w:rPr>
        <w:sz w:val="20"/>
      </w:rPr>
    </w:pPr>
  </w:p>
  <w:p w14:paraId="7163E7FE" w14:textId="77777777" w:rsidR="0097251D" w:rsidRDefault="0097251D">
    <w:pPr>
      <w:pStyle w:val="BodyText"/>
      <w:spacing w:line="14" w:lineRule="auto"/>
      <w:rPr>
        <w:sz w:val="20"/>
      </w:rPr>
    </w:pPr>
  </w:p>
  <w:p w14:paraId="440EB5C1" w14:textId="77777777" w:rsidR="00467438" w:rsidRDefault="00C75D90">
    <w:pPr>
      <w:pStyle w:val="BodyText"/>
      <w:spacing w:line="14" w:lineRule="auto"/>
      <w:rPr>
        <w:sz w:val="20"/>
      </w:rPr>
    </w:pPr>
    <w:r>
      <w:pict w14:anchorId="423F105C">
        <v:shapetype id="_x0000_t202" coordsize="21600,21600" o:spt="202" path="m0,0l0,21600,21600,21600,21600,0xe">
          <v:stroke joinstyle="miter"/>
          <v:path gradientshapeok="t" o:connecttype="rect"/>
        </v:shapetype>
        <v:shape id="_x0000_s2050" type="#_x0000_t202" style="position:absolute;margin-left:219.7pt;margin-top:34.4pt;width:172.6pt;height:13.05pt;z-index:-7312;mso-position-horizontal-relative:page;mso-position-vertical-relative:page" filled="f" stroked="f">
          <v:textbox style="mso-next-textbox:#_x0000_s2050" inset="0,0,0,0">
            <w:txbxContent>
              <w:p w14:paraId="68F39266" w14:textId="4B0DFDCD" w:rsidR="00467438" w:rsidRDefault="00467438">
                <w:pPr>
                  <w:spacing w:before="10"/>
                  <w:ind w:left="20"/>
                  <w:rPr>
                    <w:i/>
                    <w:sz w:val="20"/>
                  </w:rPr>
                </w:pP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91B89" w14:textId="77777777" w:rsidR="00467438" w:rsidRDefault="00467438">
    <w:pPr>
      <w:pStyle w:val="BodyTex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E0F51"/>
    <w:multiLevelType w:val="hybridMultilevel"/>
    <w:tmpl w:val="AE568CF4"/>
    <w:lvl w:ilvl="0" w:tplc="0A282076">
      <w:start w:val="1"/>
      <w:numFmt w:val="decimal"/>
      <w:lvlText w:val="%1."/>
      <w:lvlJc w:val="left"/>
      <w:pPr>
        <w:ind w:left="800" w:hanging="240"/>
        <w:jc w:val="left"/>
      </w:pPr>
      <w:rPr>
        <w:rFonts w:ascii="Times New Roman" w:eastAsia="Times New Roman" w:hAnsi="Times New Roman" w:cs="Times New Roman" w:hint="default"/>
        <w:w w:val="99"/>
        <w:sz w:val="24"/>
        <w:szCs w:val="24"/>
      </w:rPr>
    </w:lvl>
    <w:lvl w:ilvl="1" w:tplc="CE005426">
      <w:numFmt w:val="bullet"/>
      <w:lvlText w:val="•"/>
      <w:lvlJc w:val="left"/>
      <w:pPr>
        <w:ind w:left="1602" w:hanging="240"/>
      </w:pPr>
      <w:rPr>
        <w:rFonts w:hint="default"/>
      </w:rPr>
    </w:lvl>
    <w:lvl w:ilvl="2" w:tplc="C332CFF4">
      <w:numFmt w:val="bullet"/>
      <w:lvlText w:val="•"/>
      <w:lvlJc w:val="left"/>
      <w:pPr>
        <w:ind w:left="2404" w:hanging="240"/>
      </w:pPr>
      <w:rPr>
        <w:rFonts w:hint="default"/>
      </w:rPr>
    </w:lvl>
    <w:lvl w:ilvl="3" w:tplc="482411B0">
      <w:numFmt w:val="bullet"/>
      <w:lvlText w:val="•"/>
      <w:lvlJc w:val="left"/>
      <w:pPr>
        <w:ind w:left="3206" w:hanging="240"/>
      </w:pPr>
      <w:rPr>
        <w:rFonts w:hint="default"/>
      </w:rPr>
    </w:lvl>
    <w:lvl w:ilvl="4" w:tplc="FB5230E8">
      <w:numFmt w:val="bullet"/>
      <w:lvlText w:val="•"/>
      <w:lvlJc w:val="left"/>
      <w:pPr>
        <w:ind w:left="4008" w:hanging="240"/>
      </w:pPr>
      <w:rPr>
        <w:rFonts w:hint="default"/>
      </w:rPr>
    </w:lvl>
    <w:lvl w:ilvl="5" w:tplc="99C6CFE2">
      <w:numFmt w:val="bullet"/>
      <w:lvlText w:val="•"/>
      <w:lvlJc w:val="left"/>
      <w:pPr>
        <w:ind w:left="4810" w:hanging="240"/>
      </w:pPr>
      <w:rPr>
        <w:rFonts w:hint="default"/>
      </w:rPr>
    </w:lvl>
    <w:lvl w:ilvl="6" w:tplc="A54A813A">
      <w:numFmt w:val="bullet"/>
      <w:lvlText w:val="•"/>
      <w:lvlJc w:val="left"/>
      <w:pPr>
        <w:ind w:left="5612" w:hanging="240"/>
      </w:pPr>
      <w:rPr>
        <w:rFonts w:hint="default"/>
      </w:rPr>
    </w:lvl>
    <w:lvl w:ilvl="7" w:tplc="1F5A32C8">
      <w:numFmt w:val="bullet"/>
      <w:lvlText w:val="•"/>
      <w:lvlJc w:val="left"/>
      <w:pPr>
        <w:ind w:left="6414" w:hanging="240"/>
      </w:pPr>
      <w:rPr>
        <w:rFonts w:hint="default"/>
      </w:rPr>
    </w:lvl>
    <w:lvl w:ilvl="8" w:tplc="B0F2C10C">
      <w:numFmt w:val="bullet"/>
      <w:lvlText w:val="•"/>
      <w:lvlJc w:val="left"/>
      <w:pPr>
        <w:ind w:left="7216" w:hanging="240"/>
      </w:pPr>
      <w:rPr>
        <w:rFonts w:hint="default"/>
      </w:rPr>
    </w:lvl>
  </w:abstractNum>
  <w:abstractNum w:abstractNumId="1">
    <w:nsid w:val="71BA3CE1"/>
    <w:multiLevelType w:val="hybridMultilevel"/>
    <w:tmpl w:val="67FC8FF0"/>
    <w:lvl w:ilvl="0" w:tplc="68200D60">
      <w:start w:val="1"/>
      <w:numFmt w:val="decimal"/>
      <w:lvlText w:val="%1."/>
      <w:lvlJc w:val="left"/>
      <w:pPr>
        <w:ind w:left="532" w:hanging="433"/>
        <w:jc w:val="left"/>
      </w:pPr>
      <w:rPr>
        <w:rFonts w:ascii="Times New Roman" w:eastAsia="Times New Roman" w:hAnsi="Times New Roman" w:cs="Times New Roman" w:hint="default"/>
        <w:w w:val="99"/>
        <w:sz w:val="24"/>
        <w:szCs w:val="24"/>
      </w:rPr>
    </w:lvl>
    <w:lvl w:ilvl="1" w:tplc="6A12BB5E">
      <w:start w:val="2"/>
      <w:numFmt w:val="decimal"/>
      <w:lvlText w:val="(%2)"/>
      <w:lvlJc w:val="left"/>
      <w:pPr>
        <w:ind w:left="532" w:hanging="339"/>
        <w:jc w:val="left"/>
      </w:pPr>
      <w:rPr>
        <w:rFonts w:ascii="Times New Roman" w:eastAsia="Times New Roman" w:hAnsi="Times New Roman" w:cs="Times New Roman" w:hint="default"/>
        <w:spacing w:val="-1"/>
        <w:w w:val="99"/>
        <w:sz w:val="24"/>
        <w:szCs w:val="24"/>
      </w:rPr>
    </w:lvl>
    <w:lvl w:ilvl="2" w:tplc="A1129E3C">
      <w:numFmt w:val="bullet"/>
      <w:lvlText w:val="•"/>
      <w:lvlJc w:val="left"/>
      <w:pPr>
        <w:ind w:left="2196" w:hanging="339"/>
      </w:pPr>
      <w:rPr>
        <w:rFonts w:hint="default"/>
      </w:rPr>
    </w:lvl>
    <w:lvl w:ilvl="3" w:tplc="CF0A4370">
      <w:numFmt w:val="bullet"/>
      <w:lvlText w:val="•"/>
      <w:lvlJc w:val="left"/>
      <w:pPr>
        <w:ind w:left="3024" w:hanging="339"/>
      </w:pPr>
      <w:rPr>
        <w:rFonts w:hint="default"/>
      </w:rPr>
    </w:lvl>
    <w:lvl w:ilvl="4" w:tplc="70D050E6">
      <w:numFmt w:val="bullet"/>
      <w:lvlText w:val="•"/>
      <w:lvlJc w:val="left"/>
      <w:pPr>
        <w:ind w:left="3852" w:hanging="339"/>
      </w:pPr>
      <w:rPr>
        <w:rFonts w:hint="default"/>
      </w:rPr>
    </w:lvl>
    <w:lvl w:ilvl="5" w:tplc="F514AC1E">
      <w:numFmt w:val="bullet"/>
      <w:lvlText w:val="•"/>
      <w:lvlJc w:val="left"/>
      <w:pPr>
        <w:ind w:left="4680" w:hanging="339"/>
      </w:pPr>
      <w:rPr>
        <w:rFonts w:hint="default"/>
      </w:rPr>
    </w:lvl>
    <w:lvl w:ilvl="6" w:tplc="912264E4">
      <w:numFmt w:val="bullet"/>
      <w:lvlText w:val="•"/>
      <w:lvlJc w:val="left"/>
      <w:pPr>
        <w:ind w:left="5508" w:hanging="339"/>
      </w:pPr>
      <w:rPr>
        <w:rFonts w:hint="default"/>
      </w:rPr>
    </w:lvl>
    <w:lvl w:ilvl="7" w:tplc="F78EBB94">
      <w:numFmt w:val="bullet"/>
      <w:lvlText w:val="•"/>
      <w:lvlJc w:val="left"/>
      <w:pPr>
        <w:ind w:left="6336" w:hanging="339"/>
      </w:pPr>
      <w:rPr>
        <w:rFonts w:hint="default"/>
      </w:rPr>
    </w:lvl>
    <w:lvl w:ilvl="8" w:tplc="A994FF76">
      <w:numFmt w:val="bullet"/>
      <w:lvlText w:val="•"/>
      <w:lvlJc w:val="left"/>
      <w:pPr>
        <w:ind w:left="7164" w:hanging="33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67438"/>
    <w:rsid w:val="00183D6D"/>
    <w:rsid w:val="003E1C59"/>
    <w:rsid w:val="00467438"/>
    <w:rsid w:val="00604FEA"/>
    <w:rsid w:val="006555F7"/>
    <w:rsid w:val="00740656"/>
    <w:rsid w:val="007C28B0"/>
    <w:rsid w:val="008C60BD"/>
    <w:rsid w:val="008D22AD"/>
    <w:rsid w:val="00971010"/>
    <w:rsid w:val="0097251D"/>
    <w:rsid w:val="00C35B2D"/>
    <w:rsid w:val="00C75D90"/>
    <w:rsid w:val="00F477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E0E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15" w:right="2115"/>
      <w:jc w:val="center"/>
      <w:outlineLvl w:val="0"/>
    </w:pPr>
    <w:rPr>
      <w:b/>
      <w:bCs/>
      <w:sz w:val="28"/>
      <w:szCs w:val="28"/>
    </w:rPr>
  </w:style>
  <w:style w:type="paragraph" w:styleId="Heading2">
    <w:name w:val="heading 2"/>
    <w:basedOn w:val="Normal"/>
    <w:uiPriority w:val="1"/>
    <w:qFormat/>
    <w:pPr>
      <w:spacing w:before="198"/>
      <w:ind w:left="1120"/>
      <w:outlineLvl w:val="1"/>
    </w:pPr>
    <w:rPr>
      <w:rFonts w:ascii="Arial-BoldItalicMT" w:eastAsia="Arial-BoldItalicMT" w:hAnsi="Arial-BoldItalicMT" w:cs="Arial-BoldItalicMT"/>
      <w:b/>
      <w:bCs/>
      <w:i/>
      <w:sz w:val="28"/>
      <w:szCs w:val="28"/>
    </w:rPr>
  </w:style>
  <w:style w:type="paragraph" w:styleId="Heading3">
    <w:name w:val="heading 3"/>
    <w:basedOn w:val="Normal"/>
    <w:uiPriority w:val="1"/>
    <w:qFormat/>
    <w:pPr>
      <w:spacing w:before="221"/>
      <w:ind w:left="100"/>
      <w:outlineLvl w:val="2"/>
    </w:pPr>
    <w:rPr>
      <w:rFonts w:ascii="Arial" w:eastAsia="Arial" w:hAnsi="Arial" w:cs="Arial"/>
      <w:b/>
      <w:bCs/>
      <w:sz w:val="26"/>
      <w:szCs w:val="26"/>
    </w:rPr>
  </w:style>
  <w:style w:type="paragraph" w:styleId="Heading4">
    <w:name w:val="heading 4"/>
    <w:basedOn w:val="Normal"/>
    <w:uiPriority w:val="1"/>
    <w:qFormat/>
    <w:pPr>
      <w:ind w:left="2420" w:right="2402"/>
      <w:jc w:val="center"/>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1"/>
      <w:ind w:left="320"/>
    </w:pPr>
    <w:rPr>
      <w:sz w:val="24"/>
      <w:szCs w:val="24"/>
    </w:rPr>
  </w:style>
  <w:style w:type="paragraph" w:styleId="TOC2">
    <w:name w:val="toc 2"/>
    <w:basedOn w:val="Normal"/>
    <w:uiPriority w:val="1"/>
    <w:qFormat/>
    <w:pPr>
      <w:spacing w:before="136"/>
      <w:ind w:left="800" w:hanging="2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251D"/>
    <w:pPr>
      <w:tabs>
        <w:tab w:val="center" w:pos="4513"/>
        <w:tab w:val="right" w:pos="9026"/>
      </w:tabs>
    </w:pPr>
  </w:style>
  <w:style w:type="character" w:customStyle="1" w:styleId="HeaderChar">
    <w:name w:val="Header Char"/>
    <w:basedOn w:val="DefaultParagraphFont"/>
    <w:link w:val="Header"/>
    <w:uiPriority w:val="99"/>
    <w:rsid w:val="0097251D"/>
    <w:rPr>
      <w:rFonts w:ascii="Times New Roman" w:eastAsia="Times New Roman" w:hAnsi="Times New Roman" w:cs="Times New Roman"/>
    </w:rPr>
  </w:style>
  <w:style w:type="paragraph" w:styleId="Footer">
    <w:name w:val="footer"/>
    <w:basedOn w:val="Normal"/>
    <w:link w:val="FooterChar"/>
    <w:uiPriority w:val="99"/>
    <w:unhideWhenUsed/>
    <w:rsid w:val="0097251D"/>
    <w:pPr>
      <w:tabs>
        <w:tab w:val="center" w:pos="4513"/>
        <w:tab w:val="right" w:pos="9026"/>
      </w:tabs>
    </w:pPr>
  </w:style>
  <w:style w:type="character" w:customStyle="1" w:styleId="FooterChar">
    <w:name w:val="Footer Char"/>
    <w:basedOn w:val="DefaultParagraphFont"/>
    <w:link w:val="Footer"/>
    <w:uiPriority w:val="99"/>
    <w:rsid w:val="0097251D"/>
    <w:rPr>
      <w:rFonts w:ascii="Times New Roman" w:eastAsia="Times New Roman" w:hAnsi="Times New Roman" w:cs="Times New Roman"/>
    </w:rPr>
  </w:style>
  <w:style w:type="paragraph" w:customStyle="1" w:styleId="p1">
    <w:name w:val="p1"/>
    <w:basedOn w:val="Normal"/>
    <w:rsid w:val="00F477BB"/>
    <w:pPr>
      <w:widowControl/>
      <w:autoSpaceDE/>
      <w:autoSpaceDN/>
    </w:pPr>
    <w:rPr>
      <w:rFonts w:ascii="Arial" w:eastAsiaTheme="minorHAnsi"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51042">
      <w:bodyDiv w:val="1"/>
      <w:marLeft w:val="0"/>
      <w:marRight w:val="0"/>
      <w:marTop w:val="0"/>
      <w:marBottom w:val="0"/>
      <w:divBdr>
        <w:top w:val="none" w:sz="0" w:space="0" w:color="auto"/>
        <w:left w:val="none" w:sz="0" w:space="0" w:color="auto"/>
        <w:bottom w:val="none" w:sz="0" w:space="0" w:color="auto"/>
        <w:right w:val="none" w:sz="0" w:space="0" w:color="auto"/>
      </w:divBdr>
    </w:div>
    <w:div w:id="1079868158">
      <w:bodyDiv w:val="1"/>
      <w:marLeft w:val="0"/>
      <w:marRight w:val="0"/>
      <w:marTop w:val="0"/>
      <w:marBottom w:val="0"/>
      <w:divBdr>
        <w:top w:val="none" w:sz="0" w:space="0" w:color="auto"/>
        <w:left w:val="none" w:sz="0" w:space="0" w:color="auto"/>
        <w:bottom w:val="none" w:sz="0" w:space="0" w:color="auto"/>
        <w:right w:val="none" w:sz="0" w:space="0" w:color="auto"/>
      </w:divBdr>
    </w:div>
    <w:div w:id="1123112953">
      <w:bodyDiv w:val="1"/>
      <w:marLeft w:val="0"/>
      <w:marRight w:val="0"/>
      <w:marTop w:val="0"/>
      <w:marBottom w:val="0"/>
      <w:divBdr>
        <w:top w:val="none" w:sz="0" w:space="0" w:color="auto"/>
        <w:left w:val="none" w:sz="0" w:space="0" w:color="auto"/>
        <w:bottom w:val="none" w:sz="0" w:space="0" w:color="auto"/>
        <w:right w:val="none" w:sz="0" w:space="0" w:color="auto"/>
      </w:divBdr>
    </w:div>
    <w:div w:id="1347945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1198</Words>
  <Characters>6834</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Microsoft Word - Telecommunications Service Tax Act 2009.doc</vt:lpstr>
    </vt:vector>
  </TitlesOfParts>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Telecommunications Service Tax Act 2009.doc</dc:title>
  <dc:creator>katy.leroy</dc:creator>
  <cp:lastModifiedBy>Lee Burns</cp:lastModifiedBy>
  <cp:revision>6</cp:revision>
  <dcterms:created xsi:type="dcterms:W3CDTF">2017-11-03T02:28:00Z</dcterms:created>
  <dcterms:modified xsi:type="dcterms:W3CDTF">2017-11-03T04:19:00Z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2009-09-13T00:00:00Z</vt:filetime>
  </property>
  <property fmtid="{D5CDD505-2E9C-101B-9397-08002B2CF9AE}" pid="3" name="Creator">
    <vt:lpwstr>PrimoPDF http://www.primopdf.com/</vt:lpwstr>
  </property>
  <property fmtid="{D5CDD505-2E9C-101B-9397-08002B2CF9AE}" pid="4" name="LastSaved">
    <vt:filetime>2017-10-28T00:00:00Z</vt:filetime>
  </property>
</Properties>
</file>